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40" w:lineRule="exact"/>
        <w:jc w:val="both"/>
        <w:rPr>
          <w:rFonts w:ascii="方正小标宋简体"/>
        </w:rPr>
      </w:pPr>
      <w:bookmarkStart w:id="0" w:name="_GoBack"/>
      <w:r>
        <w:rPr>
          <w:rFonts w:hint="eastAsia" w:ascii="方正小标宋简体"/>
        </w:rPr>
        <w:t>2024年新型智慧城市及数字政府建设工作要点</w:t>
      </w:r>
    </w:p>
    <w:bookmarkEnd w:id="0"/>
    <w:p>
      <w:pPr>
        <w:pStyle w:val="10"/>
        <w:spacing w:line="540" w:lineRule="exact"/>
      </w:pPr>
    </w:p>
    <w:p>
      <w:pPr>
        <w:pStyle w:val="10"/>
        <w:spacing w:line="54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为深入贯彻《数字中国建设整体布局规划》精神，推动金台区新型智慧城市及数字政府建设，</w:t>
      </w:r>
      <w:r>
        <w:rPr>
          <w:rFonts w:ascii="仿宋_GB2312" w:eastAsia="仿宋_GB2312"/>
        </w:rPr>
        <w:t>根据宝鸡市智慧城市建设工作领导小组办公室《关于印发202</w:t>
      </w:r>
      <w:r>
        <w:rPr>
          <w:rFonts w:hint="eastAsia" w:ascii="仿宋_GB2312" w:eastAsia="仿宋_GB2312"/>
        </w:rPr>
        <w:t>4</w:t>
      </w:r>
      <w:r>
        <w:rPr>
          <w:rFonts w:ascii="仿宋_GB2312" w:eastAsia="仿宋_GB2312"/>
        </w:rPr>
        <w:t>年新型智慧城市及数字政府建设工作要点的通知》（宝智建办发〔202</w:t>
      </w:r>
      <w:r>
        <w:rPr>
          <w:rFonts w:hint="eastAsia" w:ascii="仿宋_GB2312" w:eastAsia="仿宋_GB2312"/>
        </w:rPr>
        <w:t>4</w:t>
      </w:r>
      <w:r>
        <w:rPr>
          <w:rFonts w:ascii="仿宋_GB2312" w:eastAsia="仿宋_GB2312"/>
        </w:rPr>
        <w:t>〕2号）精神，结合我</w:t>
      </w:r>
      <w:r>
        <w:rPr>
          <w:rFonts w:hint="eastAsia" w:ascii="仿宋_GB2312" w:eastAsia="仿宋_GB2312"/>
        </w:rPr>
        <w:t>区</w:t>
      </w:r>
      <w:r>
        <w:rPr>
          <w:rFonts w:ascii="仿宋_GB2312" w:eastAsia="仿宋_GB2312"/>
        </w:rPr>
        <w:t>实际，制定本工作要点。</w:t>
      </w:r>
    </w:p>
    <w:p>
      <w:pPr>
        <w:pStyle w:val="11"/>
        <w:spacing w:line="540" w:lineRule="exact"/>
        <w:ind w:firstLine="632"/>
      </w:pPr>
      <w:r>
        <w:rPr>
          <w:rFonts w:hint="eastAsia"/>
        </w:rPr>
        <w:t>一、主要目标</w:t>
      </w:r>
    </w:p>
    <w:p>
      <w:pPr>
        <w:pStyle w:val="10"/>
      </w:pPr>
      <w:r>
        <w:rPr>
          <w:rFonts w:hint="eastAsia"/>
        </w:rPr>
        <w:t>以数字政府建设为主要方向，贯彻新发展理念，以数字化推进政府职能转变、服务模式转变、社会治理方式转变；从提升基础网络覆盖、政务资源互通共享、政务数字化应用等方向发力，努力将金台打造成“数据资源共享应用示范区”。</w:t>
      </w:r>
    </w:p>
    <w:p>
      <w:pPr>
        <w:pStyle w:val="11"/>
        <w:spacing w:line="540" w:lineRule="exact"/>
        <w:ind w:firstLine="632"/>
      </w:pPr>
      <w:r>
        <w:rPr>
          <w:rFonts w:hint="eastAsia"/>
        </w:rPr>
        <w:t>二、重点任务</w:t>
      </w:r>
    </w:p>
    <w:p>
      <w:pPr>
        <w:pStyle w:val="14"/>
        <w:spacing w:line="540" w:lineRule="exact"/>
        <w:ind w:firstLine="515" w:firstLineChars="163"/>
        <w:rPr>
          <w:b/>
        </w:rPr>
      </w:pPr>
      <w:r>
        <w:rPr>
          <w:rFonts w:hint="eastAsia"/>
          <w:b/>
        </w:rPr>
        <w:t>（一）提升基础设施承载。</w:t>
      </w:r>
    </w:p>
    <w:p>
      <w:pPr>
        <w:pStyle w:val="10"/>
      </w:pPr>
      <w:r>
        <w:rPr>
          <w:rFonts w:hint="eastAsia" w:ascii="仿宋_GB2312" w:eastAsia="仿宋_GB2312"/>
          <w:b/>
          <w:bCs/>
        </w:rPr>
        <w:t>1.</w:t>
      </w:r>
      <w:r>
        <w:rPr>
          <w:rFonts w:hint="eastAsia" w:ascii="仿宋_GB2312" w:eastAsia="仿宋_GB2312"/>
        </w:rPr>
        <w:t>加大电子政务外网覆盖面。做好区、镇（街道办）、村（社区）三级政务外网链路保障，完成17个分支节点的双链路备份改造，完成党政机关电子政务外网光纤线路100%覆盖；全面推进IPv6应用，按需求逐步接入电子政务外网。（</w:t>
      </w:r>
      <w:r>
        <w:rPr>
          <w:rFonts w:hint="eastAsia" w:ascii="楷体_GB2312" w:eastAsia="楷体_GB2312"/>
        </w:rPr>
        <w:t>牵头单位：区数字化信息服务中心，责任单位：区政府相关工作部门、各镇街）</w:t>
      </w:r>
    </w:p>
    <w:p>
      <w:pPr>
        <w:pStyle w:val="10"/>
        <w:spacing w:line="54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2.加快</w:t>
      </w:r>
      <w:r>
        <w:rPr>
          <w:rFonts w:hint="eastAsia" w:ascii="仿宋_GB2312" w:eastAsia="仿宋_GB2312"/>
          <w:lang w:val="en-US" w:eastAsia="zh-CN"/>
        </w:rPr>
        <w:t>推进</w:t>
      </w:r>
      <w:r>
        <w:rPr>
          <w:rFonts w:hint="eastAsia" w:ascii="仿宋_GB2312" w:eastAsia="仿宋_GB2312"/>
        </w:rPr>
        <w:t>政务云应用工作。根据集约化建设要求，对存续</w:t>
      </w:r>
      <w:r>
        <w:rPr>
          <w:rFonts w:hint="eastAsia" w:ascii="仿宋_GB2312" w:eastAsia="仿宋_GB2312"/>
          <w:lang w:val="en-US" w:eastAsia="zh-CN"/>
        </w:rPr>
        <w:t>的各类</w:t>
      </w:r>
      <w:r>
        <w:rPr>
          <w:rFonts w:hint="eastAsia" w:ascii="仿宋_GB2312" w:eastAsia="仿宋_GB2312"/>
        </w:rPr>
        <w:t>系统平台进行统一部署，完善区级</w:t>
      </w:r>
      <w:r>
        <w:rPr>
          <w:rFonts w:hint="eastAsia" w:ascii="仿宋_GB2312" w:eastAsia="仿宋_GB2312"/>
          <w:lang w:val="en-US" w:eastAsia="zh-CN"/>
        </w:rPr>
        <w:t>核心</w:t>
      </w:r>
      <w:r>
        <w:rPr>
          <w:rFonts w:hint="eastAsia" w:ascii="仿宋_GB2312" w:eastAsia="仿宋_GB2312"/>
        </w:rPr>
        <w:t>政务机房数据管理，增强</w:t>
      </w:r>
      <w:r>
        <w:rPr>
          <w:rFonts w:hint="eastAsia" w:ascii="仿宋_GB2312" w:eastAsia="仿宋_GB2312"/>
          <w:lang w:val="en-US" w:eastAsia="zh-CN"/>
        </w:rPr>
        <w:t>核心</w:t>
      </w:r>
      <w:r>
        <w:rPr>
          <w:rFonts w:hint="eastAsia" w:ascii="仿宋_GB2312" w:eastAsia="仿宋_GB2312"/>
        </w:rPr>
        <w:t>数据机房的存储、安全防护、PUE性能，</w:t>
      </w:r>
      <w:r>
        <w:rPr>
          <w:rFonts w:hint="eastAsia" w:ascii="仿宋_GB2312" w:eastAsia="仿宋_GB2312"/>
          <w:lang w:val="en-US" w:eastAsia="zh-CN"/>
        </w:rPr>
        <w:t>形成</w:t>
      </w:r>
      <w:r>
        <w:rPr>
          <w:rFonts w:hint="eastAsia" w:ascii="仿宋_GB2312" w:eastAsia="仿宋_GB2312"/>
        </w:rPr>
        <w:t>以</w:t>
      </w:r>
      <w:r>
        <w:rPr>
          <w:rFonts w:hint="eastAsia" w:ascii="仿宋_GB2312" w:eastAsia="仿宋_GB2312"/>
          <w:lang w:val="en-US" w:eastAsia="zh-CN"/>
        </w:rPr>
        <w:t>政务</w:t>
      </w:r>
      <w:r>
        <w:rPr>
          <w:rFonts w:hint="eastAsia" w:ascii="仿宋_GB2312" w:eastAsia="仿宋_GB2312"/>
        </w:rPr>
        <w:t>机房为核心</w:t>
      </w:r>
      <w:r>
        <w:rPr>
          <w:rFonts w:hint="eastAsia" w:ascii="仿宋_GB2312" w:eastAsia="仿宋_GB2312"/>
          <w:lang w:val="en-US" w:eastAsia="zh-CN"/>
        </w:rPr>
        <w:t>向外</w:t>
      </w:r>
      <w:r>
        <w:rPr>
          <w:rFonts w:hint="eastAsia" w:ascii="仿宋_GB2312" w:eastAsia="仿宋_GB2312"/>
        </w:rPr>
        <w:t>辐射全区</w:t>
      </w:r>
      <w:r>
        <w:rPr>
          <w:rFonts w:hint="eastAsia" w:ascii="仿宋_GB2312" w:eastAsia="仿宋_GB2312"/>
          <w:lang w:val="en-US" w:eastAsia="zh-CN"/>
        </w:rPr>
        <w:t>各级部门业务系统及应用</w:t>
      </w:r>
      <w:r>
        <w:rPr>
          <w:rFonts w:hint="eastAsia" w:ascii="仿宋_GB2312" w:eastAsia="仿宋_GB2312"/>
        </w:rPr>
        <w:t>平台的星型节点模式。</w:t>
      </w:r>
      <w:r>
        <w:rPr>
          <w:rFonts w:ascii="楷体_GB2312" w:eastAsia="楷体_GB2312"/>
        </w:rPr>
        <w:t>（</w:t>
      </w:r>
      <w:r>
        <w:rPr>
          <w:rFonts w:hint="eastAsia" w:ascii="楷体_GB2312" w:eastAsia="楷体_GB2312"/>
        </w:rPr>
        <w:t>牵头单位：区数字化信息服务中心，责任单位：区政府相关工作部门、各镇街</w:t>
      </w:r>
      <w:r>
        <w:rPr>
          <w:rFonts w:ascii="楷体_GB2312" w:eastAsia="楷体_GB2312"/>
        </w:rPr>
        <w:t>）</w:t>
      </w:r>
    </w:p>
    <w:p>
      <w:pPr>
        <w:pStyle w:val="10"/>
        <w:spacing w:line="540" w:lineRule="exact"/>
        <w:rPr>
          <w:rFonts w:ascii="楷体_GB2312" w:eastAsia="楷体_GB2312"/>
        </w:rPr>
      </w:pPr>
      <w:r>
        <w:rPr>
          <w:rFonts w:hint="eastAsia" w:ascii="楷体_GB2312" w:eastAsia="楷体_GB2312"/>
        </w:rPr>
        <w:t>3.</w:t>
      </w:r>
      <w:r>
        <w:rPr>
          <w:rFonts w:hint="eastAsia" w:ascii="楷体_GB2312" w:eastAsia="楷体_GB2312"/>
          <w:lang w:val="en-US" w:eastAsia="zh-CN"/>
        </w:rPr>
        <w:t>强化政务</w:t>
      </w:r>
      <w:r>
        <w:rPr>
          <w:rFonts w:hint="eastAsia" w:ascii="楷体_GB2312" w:eastAsia="楷体_GB2312"/>
        </w:rPr>
        <w:t>外网管理。</w:t>
      </w:r>
      <w:r>
        <w:rPr>
          <w:rFonts w:hint="eastAsia"/>
        </w:rPr>
        <w:t>加强政务外网管理制度建设，</w:t>
      </w:r>
      <w:r>
        <w:rPr>
          <w:rFonts w:hint="eastAsia"/>
          <w:lang w:val="en-US" w:eastAsia="zh-CN"/>
        </w:rPr>
        <w:t>细化管理要求，</w:t>
      </w:r>
      <w:r>
        <w:rPr>
          <w:rFonts w:hint="eastAsia"/>
        </w:rPr>
        <w:t>印发《金台区电子政务外网管理办法》，</w:t>
      </w:r>
      <w:r>
        <w:rPr>
          <w:rFonts w:hint="eastAsia"/>
          <w:lang w:val="en-US" w:eastAsia="zh-CN"/>
        </w:rPr>
        <w:t>不断</w:t>
      </w:r>
      <w:r>
        <w:rPr>
          <w:rFonts w:hint="eastAsia"/>
        </w:rPr>
        <w:t>规范区级政务机房的运维管理工作，</w:t>
      </w:r>
      <w:r>
        <w:rPr>
          <w:rFonts w:hint="eastAsia"/>
          <w:lang w:val="en-US" w:eastAsia="zh-CN"/>
        </w:rPr>
        <w:t>确保</w:t>
      </w:r>
      <w:r>
        <w:rPr>
          <w:rFonts w:hint="eastAsia"/>
        </w:rPr>
        <w:t>区级网络节点的安全运行。（</w:t>
      </w:r>
      <w:r>
        <w:rPr>
          <w:rFonts w:hint="eastAsia" w:ascii="楷体_GB2312" w:eastAsia="楷体_GB2312"/>
        </w:rPr>
        <w:t>责任单位：区数字化信息服务中心）</w:t>
      </w:r>
    </w:p>
    <w:p>
      <w:pPr>
        <w:pStyle w:val="14"/>
        <w:spacing w:line="540" w:lineRule="exact"/>
        <w:ind w:firstLineChars="63"/>
        <w:rPr>
          <w:b/>
        </w:rPr>
      </w:pPr>
      <w:r>
        <w:rPr>
          <w:rFonts w:hint="eastAsia"/>
          <w:b/>
        </w:rPr>
        <w:t>（二）构建统一的数据汇集模式</w:t>
      </w:r>
    </w:p>
    <w:p>
      <w:pPr>
        <w:pStyle w:val="10"/>
        <w:spacing w:line="540" w:lineRule="exact"/>
        <w:rPr>
          <w:rFonts w:ascii="楷体_GB2312" w:eastAsia="楷体_GB2312"/>
        </w:rPr>
      </w:pPr>
      <w:r>
        <w:rPr>
          <w:rFonts w:hint="eastAsia" w:ascii="仿宋_GB2312" w:eastAsia="仿宋_GB2312"/>
        </w:rPr>
        <w:t>4.修订政务数据资源目录。以省市政务数据资源目录为蓝本，在充分借鉴</w:t>
      </w:r>
      <w:r>
        <w:rPr>
          <w:rFonts w:hint="eastAsia" w:ascii="仿宋_GB2312" w:eastAsia="仿宋_GB2312"/>
          <w:lang w:eastAsia="zh-CN"/>
        </w:rPr>
        <w:t>其他区县</w:t>
      </w:r>
      <w:r>
        <w:rPr>
          <w:rFonts w:hint="eastAsia" w:ascii="仿宋_GB2312" w:eastAsia="仿宋_GB2312"/>
        </w:rPr>
        <w:t>优秀经验的基础上，开展全区政务数据资源目录修订工作</w:t>
      </w:r>
      <w:r>
        <w:rPr>
          <w:rFonts w:hint="eastAsia" w:ascii="仿宋_GB2312" w:eastAsia="仿宋_GB2312"/>
          <w:lang w:eastAsia="zh-CN"/>
        </w:rPr>
        <w:t>。</w:t>
      </w:r>
      <w:r>
        <w:rPr>
          <w:rFonts w:hint="eastAsia" w:ascii="仿宋_GB2312" w:eastAsia="仿宋_GB2312"/>
        </w:rPr>
        <w:t>结合区级部门具体职责，建立与省市同步的政务数据资源目录标准，并对</w:t>
      </w:r>
      <w:r>
        <w:rPr>
          <w:rFonts w:hint="eastAsia" w:ascii="仿宋_GB2312" w:eastAsia="仿宋_GB2312"/>
          <w:lang w:val="en-US" w:eastAsia="zh-CN"/>
        </w:rPr>
        <w:t>相关数据要素</w:t>
      </w:r>
      <w:r>
        <w:rPr>
          <w:rFonts w:hint="eastAsia" w:ascii="仿宋_GB2312" w:eastAsia="仿宋_GB2312"/>
        </w:rPr>
        <w:t>进行规范，形成具有金台特色的政务数据目录，为后期实现区级</w:t>
      </w:r>
      <w:r>
        <w:rPr>
          <w:rFonts w:hint="eastAsia" w:ascii="仿宋_GB2312" w:eastAsia="仿宋_GB2312"/>
          <w:lang w:val="en-US" w:eastAsia="zh-CN"/>
        </w:rPr>
        <w:t>政务</w:t>
      </w:r>
      <w:r>
        <w:rPr>
          <w:rFonts w:hint="eastAsia" w:ascii="仿宋_GB2312" w:eastAsia="仿宋_GB2312"/>
        </w:rPr>
        <w:t>数据互通</w:t>
      </w:r>
      <w:r>
        <w:rPr>
          <w:rFonts w:hint="eastAsia" w:ascii="仿宋_GB2312" w:eastAsia="仿宋_GB2312"/>
          <w:lang w:val="en-US" w:eastAsia="zh-CN"/>
        </w:rPr>
        <w:t>共享</w:t>
      </w:r>
      <w:r>
        <w:rPr>
          <w:rFonts w:hint="eastAsia" w:ascii="仿宋_GB2312" w:eastAsia="仿宋_GB2312"/>
        </w:rPr>
        <w:t>提供详尽、高效、准确的数据</w:t>
      </w:r>
      <w:r>
        <w:rPr>
          <w:rFonts w:hint="eastAsia" w:ascii="仿宋_GB2312" w:eastAsia="仿宋_GB2312"/>
          <w:lang w:val="en-US" w:eastAsia="zh-CN"/>
        </w:rPr>
        <w:t>基础</w:t>
      </w:r>
      <w:r>
        <w:rPr>
          <w:rFonts w:hint="eastAsia" w:ascii="仿宋_GB2312" w:eastAsia="仿宋_GB2312"/>
        </w:rPr>
        <w:t>。</w:t>
      </w:r>
      <w:r>
        <w:rPr>
          <w:rFonts w:ascii="楷体_GB2312" w:eastAsia="楷体_GB2312"/>
        </w:rPr>
        <w:t>（</w:t>
      </w:r>
      <w:r>
        <w:rPr>
          <w:rFonts w:hint="eastAsia" w:ascii="楷体_GB2312" w:eastAsia="楷体_GB2312"/>
        </w:rPr>
        <w:t>牵头单位：区数字化信息服务中心，责任单位：区政府相关工作部门</w:t>
      </w:r>
      <w:r>
        <w:rPr>
          <w:rFonts w:ascii="楷体_GB2312" w:eastAsia="楷体_GB2312"/>
        </w:rPr>
        <w:t>）。</w:t>
      </w:r>
    </w:p>
    <w:p>
      <w:pPr>
        <w:pStyle w:val="10"/>
        <w:rPr>
          <w:rFonts w:ascii="楷体_GB2312" w:eastAsia="楷体_GB2312"/>
        </w:rPr>
      </w:pPr>
      <w:r>
        <w:rPr>
          <w:rFonts w:hint="eastAsia"/>
        </w:rPr>
        <w:t>5.</w:t>
      </w:r>
      <w:r>
        <w:rPr>
          <w:rFonts w:hint="eastAsia" w:ascii="仿宋_GB2312" w:eastAsia="仿宋_GB2312"/>
        </w:rPr>
        <w:t>畅通政务数据流转渠道。按标准流程梳理共享和需求清单，有序</w:t>
      </w:r>
      <w:r>
        <w:rPr>
          <w:rFonts w:hint="eastAsia" w:ascii="仿宋_GB2312" w:eastAsia="仿宋_GB2312"/>
          <w:lang w:val="en-US" w:eastAsia="zh-CN"/>
        </w:rPr>
        <w:t>推进与</w:t>
      </w:r>
      <w:r>
        <w:rPr>
          <w:rFonts w:hint="eastAsia" w:ascii="仿宋_GB2312" w:eastAsia="仿宋_GB2312"/>
        </w:rPr>
        <w:t>省市政务共享平台的</w:t>
      </w:r>
      <w:r>
        <w:rPr>
          <w:rFonts w:hint="eastAsia" w:ascii="仿宋_GB2312" w:eastAsia="仿宋_GB2312"/>
          <w:lang w:val="en-US" w:eastAsia="zh-CN"/>
        </w:rPr>
        <w:t>数据</w:t>
      </w:r>
      <w:r>
        <w:rPr>
          <w:rFonts w:hint="eastAsia" w:ascii="仿宋_GB2312" w:eastAsia="仿宋_GB2312"/>
        </w:rPr>
        <w:t>对接，按照接口规范持续推进政务数据跨部门、跨层级汇集</w:t>
      </w:r>
      <w:r>
        <w:rPr>
          <w:rFonts w:hint="eastAsia" w:ascii="仿宋_GB2312" w:eastAsia="仿宋_GB2312"/>
          <w:lang w:eastAsia="zh-CN"/>
        </w:rPr>
        <w:t>，</w:t>
      </w:r>
      <w:r>
        <w:rPr>
          <w:rFonts w:hint="eastAsia" w:ascii="仿宋_GB2312" w:eastAsia="仿宋_GB2312"/>
          <w:lang w:val="en-US" w:eastAsia="zh-CN"/>
        </w:rPr>
        <w:t>逐步实现</w:t>
      </w:r>
      <w:r>
        <w:rPr>
          <w:rFonts w:hint="eastAsia" w:ascii="仿宋_GB2312" w:eastAsia="仿宋_GB2312"/>
        </w:rPr>
        <w:t>动态更新</w:t>
      </w:r>
      <w:r>
        <w:rPr>
          <w:rFonts w:hint="eastAsia" w:ascii="仿宋_GB2312" w:eastAsia="仿宋_GB2312"/>
          <w:lang w:eastAsia="zh-CN"/>
        </w:rPr>
        <w:t>、</w:t>
      </w:r>
      <w:r>
        <w:rPr>
          <w:rFonts w:hint="eastAsia" w:ascii="仿宋_GB2312" w:eastAsia="仿宋_GB2312"/>
        </w:rPr>
        <w:t>共享互通。</w:t>
      </w:r>
      <w:r>
        <w:rPr>
          <w:rFonts w:hint="eastAsia" w:ascii="楷体_GB2312" w:eastAsia="楷体_GB2312"/>
        </w:rPr>
        <w:t>（牵头单位：区数字化信息服务中心，责任单位：区政府相关工作部门）。</w:t>
      </w:r>
    </w:p>
    <w:p>
      <w:pPr>
        <w:pStyle w:val="10"/>
      </w:pPr>
      <w:r>
        <w:rPr>
          <w:rFonts w:hint="eastAsia"/>
        </w:rPr>
        <w:t>6.推进</w:t>
      </w:r>
      <w:r>
        <w:rPr>
          <w:rFonts w:hint="eastAsia" w:ascii="仿宋_GB2312" w:eastAsia="仿宋_GB2312"/>
        </w:rPr>
        <w:t>政务数据互通共享。在数据共享互通的前提下，结合各单位的业务实际，在</w:t>
      </w:r>
      <w:r>
        <w:rPr>
          <w:rFonts w:hint="eastAsia" w:ascii="仿宋_GB2312" w:eastAsia="仿宋_GB2312"/>
          <w:lang w:val="en-US" w:eastAsia="zh-CN"/>
        </w:rPr>
        <w:t>解决</w:t>
      </w:r>
      <w:r>
        <w:rPr>
          <w:rFonts w:hint="eastAsia" w:ascii="仿宋_GB2312" w:eastAsia="仿宋_GB2312"/>
        </w:rPr>
        <w:t>“报表多头重复填报”</w:t>
      </w:r>
      <w:r>
        <w:rPr>
          <w:rFonts w:hint="eastAsia" w:ascii="仿宋_GB2312" w:eastAsia="仿宋_GB2312"/>
          <w:lang w:val="en-US" w:eastAsia="zh-CN"/>
        </w:rPr>
        <w:t>问题</w:t>
      </w:r>
      <w:r>
        <w:rPr>
          <w:rFonts w:hint="eastAsia" w:ascii="仿宋_GB2312" w:eastAsia="仿宋_GB2312"/>
        </w:rPr>
        <w:t>上下功夫，着力</w:t>
      </w:r>
      <w:r>
        <w:rPr>
          <w:rFonts w:hint="eastAsia" w:ascii="仿宋_GB2312" w:eastAsia="仿宋_GB2312"/>
          <w:lang w:val="en-US" w:eastAsia="zh-CN"/>
        </w:rPr>
        <w:t>推进</w:t>
      </w:r>
      <w:r>
        <w:rPr>
          <w:rFonts w:hint="eastAsia" w:ascii="仿宋_GB2312" w:eastAsia="仿宋_GB2312"/>
        </w:rPr>
        <w:t>数据在业务部门之间有序、安全、高效流通，为基层解决多头填报</w:t>
      </w:r>
      <w:r>
        <w:rPr>
          <w:rFonts w:hint="eastAsia" w:ascii="仿宋_GB2312" w:eastAsia="仿宋_GB2312"/>
          <w:lang w:eastAsia="zh-CN"/>
        </w:rPr>
        <w:t>、</w:t>
      </w:r>
      <w:r>
        <w:rPr>
          <w:rFonts w:hint="eastAsia" w:ascii="仿宋_GB2312" w:eastAsia="仿宋_GB2312"/>
        </w:rPr>
        <w:t>低效应用</w:t>
      </w:r>
      <w:r>
        <w:rPr>
          <w:rFonts w:hint="eastAsia" w:ascii="仿宋_GB2312" w:eastAsia="仿宋_GB2312"/>
          <w:lang w:val="en-US" w:eastAsia="zh-CN"/>
        </w:rPr>
        <w:t>等</w:t>
      </w:r>
      <w:r>
        <w:rPr>
          <w:rFonts w:hint="eastAsia" w:ascii="仿宋_GB2312" w:eastAsia="仿宋_GB2312"/>
        </w:rPr>
        <w:t>问题。</w:t>
      </w:r>
      <w:r>
        <w:rPr>
          <w:rFonts w:hint="eastAsia" w:ascii="楷体_GB2312" w:eastAsia="楷体_GB2312"/>
        </w:rPr>
        <w:t>（牵头单位：区数字化信息服务中心，责任单位：区政府相关工作部门）</w:t>
      </w:r>
    </w:p>
    <w:p>
      <w:pPr>
        <w:pStyle w:val="14"/>
        <w:spacing w:line="540" w:lineRule="exact"/>
        <w:ind w:firstLineChars="63"/>
        <w:rPr>
          <w:b/>
        </w:rPr>
      </w:pPr>
      <w:r>
        <w:rPr>
          <w:rFonts w:hint="eastAsia"/>
          <w:b/>
        </w:rPr>
        <w:t>（三）推进数字化应用</w:t>
      </w:r>
    </w:p>
    <w:p>
      <w:pPr>
        <w:pStyle w:val="22"/>
        <w:ind w:firstLine="632"/>
      </w:pPr>
      <w:r>
        <w:rPr>
          <w:rFonts w:hint="eastAsia" w:ascii="仿宋_GB2312"/>
        </w:rPr>
        <w:t>7.优化数字产业布局。推进</w:t>
      </w:r>
      <w:r>
        <w:rPr>
          <w:rFonts w:hint="eastAsia" w:ascii="仿宋_GB2312"/>
          <w:lang w:val="en-US" w:eastAsia="zh-CN"/>
        </w:rPr>
        <w:t>数字</w:t>
      </w:r>
      <w:r>
        <w:rPr>
          <w:rFonts w:hint="eastAsia" w:ascii="仿宋_GB2312"/>
        </w:rPr>
        <w:t>产业布局优化，强化主导产业、特色业务聚焦科技前沿和未来赛道，加大</w:t>
      </w:r>
      <w:r>
        <w:rPr>
          <w:rFonts w:hint="eastAsia" w:ascii="仿宋_GB2312"/>
          <w:lang w:val="en-US" w:eastAsia="zh-CN"/>
        </w:rPr>
        <w:t>对</w:t>
      </w:r>
      <w:r>
        <w:rPr>
          <w:rFonts w:ascii="仿宋_GB2312"/>
        </w:rPr>
        <w:t>数字产品制造业、数字产品服务业、数字技术应用业、</w:t>
      </w:r>
      <w:r>
        <w:rPr>
          <w:rFonts w:hint="eastAsia" w:ascii="仿宋_GB2312"/>
        </w:rPr>
        <w:t>AI人工智能、新一代信息技术等领域的布局</w:t>
      </w:r>
      <w:r>
        <w:rPr>
          <w:rFonts w:hint="eastAsia" w:ascii="仿宋_GB2312"/>
          <w:lang w:val="en-US" w:eastAsia="zh-CN"/>
        </w:rPr>
        <w:t>和投融资</w:t>
      </w:r>
      <w:r>
        <w:rPr>
          <w:rFonts w:hint="eastAsia" w:ascii="仿宋_GB2312"/>
        </w:rPr>
        <w:t>力度，建立</w:t>
      </w:r>
      <w:r>
        <w:rPr>
          <w:rFonts w:hint="eastAsia" w:ascii="仿宋_GB2312"/>
          <w:lang w:val="en-US" w:eastAsia="zh-CN"/>
        </w:rPr>
        <w:t>完善的激励</w:t>
      </w:r>
      <w:r>
        <w:rPr>
          <w:rFonts w:hint="eastAsia" w:ascii="仿宋_GB2312"/>
        </w:rPr>
        <w:t>政策</w:t>
      </w:r>
      <w:r>
        <w:rPr>
          <w:rFonts w:hint="eastAsia" w:ascii="仿宋_GB2312"/>
          <w:lang w:val="en-US" w:eastAsia="zh-CN"/>
        </w:rPr>
        <w:t>和</w:t>
      </w:r>
      <w:r>
        <w:rPr>
          <w:rFonts w:hint="eastAsia" w:ascii="仿宋_GB2312"/>
        </w:rPr>
        <w:t>要素保障</w:t>
      </w:r>
      <w:r>
        <w:rPr>
          <w:rFonts w:hint="eastAsia" w:ascii="仿宋_GB2312"/>
          <w:lang w:val="en-US" w:eastAsia="zh-CN"/>
        </w:rPr>
        <w:t>机制</w:t>
      </w:r>
      <w:r>
        <w:rPr>
          <w:rFonts w:hint="eastAsia" w:ascii="仿宋_GB2312"/>
        </w:rPr>
        <w:t>。</w:t>
      </w:r>
      <w:r>
        <w:rPr>
          <w:rFonts w:ascii="楷体_GB2312" w:eastAsia="楷体_GB2312" w:hAnsiTheme="minorHAnsi" w:cstheme="minorBidi"/>
          <w:lang w:val="en-US" w:bidi="ar-SA"/>
        </w:rPr>
        <w:t>（</w:t>
      </w:r>
      <w:r>
        <w:rPr>
          <w:rFonts w:hint="eastAsia" w:ascii="楷体_GB2312" w:eastAsia="楷体_GB2312" w:hAnsiTheme="minorHAnsi" w:cstheme="minorBidi"/>
          <w:lang w:val="en-US" w:bidi="ar-SA"/>
        </w:rPr>
        <w:t>牵头单位：蟠龙高新区，责任单位：</w:t>
      </w:r>
      <w:r>
        <w:rPr>
          <w:rFonts w:ascii="楷体_GB2312" w:eastAsia="楷体_GB2312" w:hAnsiTheme="minorHAnsi" w:cstheme="minorBidi"/>
          <w:lang w:val="en-US" w:bidi="ar-SA"/>
        </w:rPr>
        <w:t>区政府各工作部门）</w:t>
      </w:r>
    </w:p>
    <w:p>
      <w:pPr>
        <w:pStyle w:val="22"/>
        <w:ind w:firstLine="632"/>
        <w:rPr>
          <w:rFonts w:ascii="楷体_GB2312" w:eastAsia="楷体_GB2312" w:hAnsiTheme="minorHAnsi" w:cstheme="minorBidi"/>
          <w:lang w:val="en-US" w:bidi="ar-SA"/>
        </w:rPr>
      </w:pPr>
      <w:r>
        <w:rPr>
          <w:rFonts w:hint="eastAsia" w:ascii="仿宋_GB2312"/>
        </w:rPr>
        <w:t>8.加速产业数字化转型。实施制造业数字化</w:t>
      </w:r>
      <w:r>
        <w:rPr>
          <w:rFonts w:hint="eastAsia" w:ascii="仿宋_GB2312"/>
          <w:lang w:val="en-US" w:eastAsia="zh-CN"/>
        </w:rPr>
        <w:t>转型升级</w:t>
      </w:r>
      <w:r>
        <w:rPr>
          <w:rFonts w:hint="eastAsia" w:ascii="仿宋_GB2312"/>
        </w:rPr>
        <w:t>和智能</w:t>
      </w:r>
      <w:r>
        <w:rPr>
          <w:rFonts w:hint="eastAsia" w:ascii="仿宋_GB2312"/>
          <w:lang w:val="en-US" w:eastAsia="zh-CN"/>
        </w:rPr>
        <w:t>改</w:t>
      </w:r>
      <w:r>
        <w:rPr>
          <w:rFonts w:hint="eastAsia" w:ascii="仿宋_GB2312"/>
        </w:rPr>
        <w:t>造</w:t>
      </w:r>
      <w:r>
        <w:rPr>
          <w:rFonts w:hint="eastAsia" w:ascii="仿宋_GB2312"/>
          <w:lang w:val="en-US" w:eastAsia="zh-CN"/>
        </w:rPr>
        <w:t>工程</w:t>
      </w:r>
      <w:r>
        <w:rPr>
          <w:rFonts w:hint="eastAsia" w:ascii="仿宋_GB2312"/>
        </w:rPr>
        <w:t>，加快“两化”融合试点，推进中小企业</w:t>
      </w:r>
      <w:r>
        <w:rPr>
          <w:rFonts w:hint="eastAsia" w:ascii="仿宋_GB2312"/>
          <w:lang w:val="en-US" w:eastAsia="zh-CN"/>
        </w:rPr>
        <w:t>依托</w:t>
      </w:r>
      <w:r>
        <w:rPr>
          <w:rFonts w:hint="eastAsia" w:ascii="仿宋_GB2312"/>
        </w:rPr>
        <w:t>工业互联网平台“上云、用数、赋智”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不断增强企业竞争力</w:t>
      </w:r>
      <w:r>
        <w:rPr>
          <w:rFonts w:hint="eastAsia" w:ascii="仿宋_GB2312"/>
        </w:rPr>
        <w:t>。</w:t>
      </w:r>
      <w:r>
        <w:rPr>
          <w:rFonts w:ascii="楷体_GB2312" w:eastAsia="楷体_GB2312" w:hAnsiTheme="minorHAnsi" w:cstheme="minorBidi"/>
          <w:lang w:val="en-US" w:bidi="ar-SA"/>
        </w:rPr>
        <w:t>（牵头单位：区</w:t>
      </w:r>
      <w:r>
        <w:rPr>
          <w:rFonts w:hint="eastAsia" w:ascii="楷体_GB2312" w:eastAsia="楷体_GB2312" w:hAnsiTheme="minorHAnsi" w:cstheme="minorBidi"/>
          <w:lang w:val="en-US" w:bidi="ar-SA"/>
        </w:rPr>
        <w:t>工信局</w:t>
      </w:r>
      <w:r>
        <w:rPr>
          <w:rFonts w:ascii="楷体_GB2312" w:eastAsia="楷体_GB2312" w:hAnsiTheme="minorHAnsi" w:cstheme="minorBidi"/>
          <w:lang w:val="en-US" w:bidi="ar-SA"/>
        </w:rPr>
        <w:t>，责任单位：区政府各工作部门）</w:t>
      </w:r>
      <w:r>
        <w:rPr>
          <w:rFonts w:hint="eastAsia" w:ascii="楷体_GB2312" w:eastAsia="楷体_GB2312" w:hAnsiTheme="minorHAnsi" w:cstheme="minorBidi"/>
          <w:lang w:val="en-US" w:bidi="ar-SA"/>
        </w:rPr>
        <w:t>。</w:t>
      </w:r>
    </w:p>
    <w:p>
      <w:pPr>
        <w:pStyle w:val="22"/>
        <w:ind w:firstLine="632"/>
        <w:rPr>
          <w:rFonts w:ascii="楷体_GB2312" w:eastAsia="楷体_GB2312" w:hAnsiTheme="minorHAnsi" w:cstheme="minorBidi"/>
          <w:lang w:val="en-US" w:bidi="ar-SA"/>
        </w:rPr>
      </w:pPr>
      <w:r>
        <w:rPr>
          <w:rFonts w:hint="eastAsia" w:ascii="仿宋_GB2312"/>
        </w:rPr>
        <w:t>9.加快数字乡村建设。以全面推进乡村振兴为目标，</w:t>
      </w:r>
      <w:r>
        <w:rPr>
          <w:rFonts w:hint="eastAsia" w:ascii="仿宋_GB2312"/>
          <w:lang w:val="en-US" w:eastAsia="zh-CN"/>
        </w:rPr>
        <w:t>构建</w:t>
      </w:r>
      <w:r>
        <w:rPr>
          <w:rFonts w:hint="eastAsia" w:ascii="仿宋_GB2312"/>
        </w:rPr>
        <w:t>一体化数字乡村</w:t>
      </w:r>
      <w:r>
        <w:rPr>
          <w:rFonts w:hint="eastAsia" w:ascii="仿宋_GB2312"/>
          <w:lang w:val="en-US" w:eastAsia="zh-CN"/>
        </w:rPr>
        <w:t>治理体系，</w:t>
      </w:r>
      <w:r>
        <w:rPr>
          <w:rFonts w:hint="eastAsia" w:ascii="仿宋_GB2312"/>
        </w:rPr>
        <w:t>实现线上线下闭环服务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用</w:t>
      </w:r>
      <w:r>
        <w:rPr>
          <w:rFonts w:hint="eastAsia" w:ascii="仿宋_GB2312"/>
        </w:rPr>
        <w:t>数字化技术为乡村治理</w:t>
      </w:r>
      <w:r>
        <w:rPr>
          <w:rFonts w:hint="eastAsia" w:ascii="仿宋_GB2312"/>
          <w:lang w:val="en-US" w:eastAsia="zh-CN"/>
        </w:rPr>
        <w:t>持续</w:t>
      </w:r>
      <w:r>
        <w:rPr>
          <w:rFonts w:hint="eastAsia" w:ascii="仿宋_GB2312"/>
        </w:rPr>
        <w:t>赋能。</w:t>
      </w:r>
      <w:r>
        <w:rPr>
          <w:rFonts w:ascii="楷体_GB2312" w:eastAsia="楷体_GB2312" w:hAnsiTheme="minorHAnsi" w:cstheme="minorBidi"/>
          <w:lang w:val="en-US" w:bidi="ar-SA"/>
        </w:rPr>
        <w:t>（牵头单位：区</w:t>
      </w:r>
      <w:r>
        <w:rPr>
          <w:rFonts w:hint="eastAsia" w:ascii="楷体_GB2312" w:eastAsia="楷体_GB2312" w:hAnsiTheme="minorHAnsi" w:cstheme="minorBidi"/>
          <w:lang w:val="en-US" w:bidi="ar-SA"/>
        </w:rPr>
        <w:t>乡村振兴局</w:t>
      </w:r>
      <w:r>
        <w:rPr>
          <w:rFonts w:ascii="楷体_GB2312" w:eastAsia="楷体_GB2312" w:hAnsiTheme="minorHAnsi" w:cstheme="minorBidi"/>
          <w:lang w:val="en-US" w:bidi="ar-SA"/>
        </w:rPr>
        <w:t>，责任单位：区级各有关部门、各镇街）。</w:t>
      </w:r>
    </w:p>
    <w:p>
      <w:pPr>
        <w:pStyle w:val="10"/>
        <w:rPr>
          <w:color w:val="FF0000"/>
        </w:rPr>
      </w:pPr>
      <w:r>
        <w:rPr>
          <w:rFonts w:hint="eastAsia"/>
        </w:rPr>
        <w:t>10.拓展数字应用场景。推进智慧林业（区林业局）、智慧教育（区教体局）、智慧人社（区人社局）等数字化项目建设，打造具有示范水平的智慧应用场景；探索“数字环保”（市环保局金台分局）、“互联网+医疗健康”（区卫健局）、“智慧交通”（区交通局）等多领域数字化应用实践。</w:t>
      </w:r>
    </w:p>
    <w:p>
      <w:pPr>
        <w:pStyle w:val="14"/>
        <w:spacing w:line="540" w:lineRule="exact"/>
        <w:ind w:firstLine="316" w:firstLineChars="100"/>
        <w:rPr>
          <w:b/>
        </w:rPr>
      </w:pPr>
      <w:r>
        <w:rPr>
          <w:rFonts w:hint="eastAsia"/>
          <w:b/>
        </w:rPr>
        <w:t>（四）推进数字政府建设</w:t>
      </w:r>
    </w:p>
    <w:p>
      <w:pPr>
        <w:pStyle w:val="10"/>
        <w:spacing w:line="54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11.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</w:rPr>
        <w:t>完善线上政务服务“一网通办”。推动线上线下政务服务能力整体提升，健全“高效办成一件事”重点事项清单管理机制和常态化推进机制，更多高频事项网上办、掌上办、一次办，实现办事申请“一次提交”、办理结果“多端获取”。推动各类政务服务事项和应用“应接尽接、应上尽上”，除法律法规另有规定或涉及国家秘密等外，政务服务事项全部纳入同级政务服务平台管理和办理，推进异地事项跨域办，实现更多事项就近办。</w:t>
      </w:r>
      <w:r>
        <w:rPr>
          <w:rFonts w:hint="eastAsia" w:ascii="楷体_GB2312" w:eastAsia="楷体_GB2312"/>
        </w:rPr>
        <w:t>（牵头单位：区行政审批局，责任单位：</w:t>
      </w:r>
      <w:r>
        <w:rPr>
          <w:rFonts w:ascii="楷体_GB2312" w:eastAsia="楷体_GB2312"/>
        </w:rPr>
        <w:t>区政府各工作部门</w:t>
      </w:r>
      <w:r>
        <w:rPr>
          <w:rFonts w:hint="eastAsia" w:ascii="楷体_GB2312" w:eastAsia="楷体_GB2312"/>
        </w:rPr>
        <w:t>）</w:t>
      </w:r>
    </w:p>
    <w:p>
      <w:pPr>
        <w:pStyle w:val="10"/>
        <w:spacing w:line="540" w:lineRule="exact"/>
        <w:rPr>
          <w:rFonts w:ascii="楷体_GB2312" w:eastAsia="楷体_GB2312"/>
        </w:rPr>
      </w:pPr>
      <w:r>
        <w:rPr>
          <w:rFonts w:hint="eastAsia" w:ascii="仿宋_GB2312" w:eastAsia="仿宋_GB2312"/>
        </w:rPr>
        <w:t>12.提升政务应用使用率。推进市</w:t>
      </w:r>
      <w:r>
        <w:rPr>
          <w:rFonts w:hint="eastAsia" w:ascii="仿宋_GB2312" w:eastAsia="仿宋_GB2312"/>
          <w:lang w:eastAsia="zh-CN"/>
        </w:rPr>
        <w:t>、</w:t>
      </w:r>
      <w:r>
        <w:rPr>
          <w:rFonts w:hint="eastAsia" w:ascii="仿宋_GB2312" w:eastAsia="仿宋_GB2312"/>
        </w:rPr>
        <w:t>区一体化协同办公平台和“秦政通”的融合应用，实现区内各层级公文处理</w:t>
      </w:r>
      <w:r>
        <w:rPr>
          <w:rFonts w:hint="eastAsia" w:ascii="仿宋_GB2312" w:eastAsia="仿宋_GB2312"/>
          <w:lang w:eastAsia="zh-CN"/>
        </w:rPr>
        <w:t>、</w:t>
      </w:r>
      <w:r>
        <w:rPr>
          <w:rFonts w:hint="eastAsia" w:ascii="仿宋_GB2312" w:eastAsia="仿宋_GB2312"/>
        </w:rPr>
        <w:t>会议</w:t>
      </w:r>
      <w:r>
        <w:rPr>
          <w:rFonts w:hint="eastAsia" w:ascii="仿宋_GB2312" w:eastAsia="仿宋_GB2312"/>
          <w:lang w:val="en-US" w:eastAsia="zh-CN"/>
        </w:rPr>
        <w:t>通知</w:t>
      </w:r>
      <w:r>
        <w:rPr>
          <w:rFonts w:hint="eastAsia" w:ascii="仿宋_GB2312" w:eastAsia="仿宋_GB2312"/>
        </w:rPr>
        <w:t>一体化全流程线上</w:t>
      </w:r>
      <w:r>
        <w:rPr>
          <w:rFonts w:hint="eastAsia" w:ascii="仿宋_GB2312" w:eastAsia="仿宋_GB2312"/>
          <w:lang w:val="en-US" w:eastAsia="zh-CN"/>
        </w:rPr>
        <w:t>办理</w:t>
      </w:r>
      <w:r>
        <w:rPr>
          <w:rFonts w:hint="eastAsia" w:ascii="仿宋_GB2312" w:eastAsia="仿宋_GB2312"/>
        </w:rPr>
        <w:t>。</w:t>
      </w:r>
      <w:r>
        <w:rPr>
          <w:rFonts w:hint="eastAsia" w:ascii="楷体_GB2312" w:eastAsia="楷体_GB2312"/>
        </w:rPr>
        <w:t>（牵头单位：区政府办，责任单位：</w:t>
      </w:r>
      <w:r>
        <w:rPr>
          <w:rFonts w:ascii="楷体_GB2312" w:eastAsia="楷体_GB2312"/>
        </w:rPr>
        <w:t>区政府各工作部门、各镇街</w:t>
      </w:r>
      <w:r>
        <w:rPr>
          <w:rFonts w:hint="eastAsia" w:ascii="楷体_GB2312" w:eastAsia="楷体_GB2312"/>
        </w:rPr>
        <w:t>）</w:t>
      </w:r>
    </w:p>
    <w:p>
      <w:pPr>
        <w:pStyle w:val="22"/>
        <w:ind w:firstLine="632"/>
      </w:pPr>
      <w:r>
        <w:rPr>
          <w:rFonts w:hint="eastAsia" w:ascii="仿宋_GB2312"/>
        </w:rPr>
        <w:t>13.提升“互联网+监管”实效。推进“互联网+监管”平台运行，实现监管事项清单</w:t>
      </w:r>
      <w:r>
        <w:rPr>
          <w:rFonts w:ascii="仿宋_GB2312"/>
        </w:rPr>
        <w:t>100%</w:t>
      </w:r>
      <w:r>
        <w:rPr>
          <w:rFonts w:hint="eastAsia" w:ascii="仿宋_GB2312"/>
        </w:rPr>
        <w:t>认领</w:t>
      </w:r>
      <w:r>
        <w:rPr>
          <w:rFonts w:hint="eastAsia" w:ascii="仿宋_GB2312"/>
          <w:lang w:eastAsia="zh-CN"/>
        </w:rPr>
        <w:t>、</w:t>
      </w:r>
      <w:r>
        <w:rPr>
          <w:rFonts w:hint="eastAsia" w:ascii="仿宋_GB2312"/>
        </w:rPr>
        <w:t>实施</w:t>
      </w:r>
      <w:r>
        <w:rPr>
          <w:rFonts w:ascii="仿宋_GB2312"/>
        </w:rPr>
        <w:t>清单填报</w:t>
      </w:r>
      <w:r>
        <w:rPr>
          <w:rFonts w:hint="eastAsia" w:ascii="仿宋_GB2312"/>
          <w:lang w:val="en-US" w:eastAsia="zh-CN"/>
        </w:rPr>
        <w:t>率</w:t>
      </w:r>
      <w:r>
        <w:rPr>
          <w:rFonts w:ascii="仿宋_GB2312"/>
        </w:rPr>
        <w:t>100%</w:t>
      </w:r>
      <w:r>
        <w:rPr>
          <w:rFonts w:hint="eastAsia" w:ascii="仿宋_GB2312"/>
          <w:lang w:eastAsia="zh-CN"/>
        </w:rPr>
        <w:t>，</w:t>
      </w:r>
      <w:r>
        <w:rPr>
          <w:rFonts w:ascii="仿宋_GB2312"/>
        </w:rPr>
        <w:t>监管</w:t>
      </w:r>
      <w:r>
        <w:rPr>
          <w:rFonts w:hint="eastAsia" w:ascii="仿宋_GB2312"/>
        </w:rPr>
        <w:t>行为</w:t>
      </w:r>
      <w:r>
        <w:rPr>
          <w:rFonts w:hint="eastAsia" w:ascii="仿宋_GB2312"/>
          <w:lang w:val="en-US" w:eastAsia="zh-CN"/>
        </w:rPr>
        <w:t>占比</w:t>
      </w:r>
      <w:r>
        <w:rPr>
          <w:rFonts w:ascii="仿宋_GB2312"/>
        </w:rPr>
        <w:t>90%以上，风险处置率</w:t>
      </w:r>
      <w:r>
        <w:rPr>
          <w:rFonts w:hint="eastAsia" w:ascii="仿宋_GB2312"/>
          <w:lang w:val="en-US" w:eastAsia="zh-CN"/>
        </w:rPr>
        <w:t>达到</w:t>
      </w:r>
      <w:r>
        <w:rPr>
          <w:rFonts w:ascii="仿宋_GB2312"/>
        </w:rPr>
        <w:t>100%</w:t>
      </w:r>
      <w:r>
        <w:rPr>
          <w:rFonts w:hint="eastAsia" w:ascii="仿宋_GB2312"/>
        </w:rPr>
        <w:t>。</w:t>
      </w:r>
      <w:r>
        <w:rPr>
          <w:rFonts w:ascii="楷体_GB2312" w:eastAsia="楷体_GB2312" w:hAnsiTheme="minorHAnsi" w:cstheme="minorBidi"/>
          <w:lang w:val="en-US" w:bidi="ar-SA"/>
        </w:rPr>
        <w:t>（</w:t>
      </w:r>
      <w:r>
        <w:rPr>
          <w:rFonts w:hint="eastAsia" w:ascii="楷体_GB2312" w:eastAsia="楷体_GB2312" w:hAnsiTheme="minorHAnsi" w:cstheme="minorBidi"/>
          <w:lang w:val="en-US" w:bidi="ar-SA"/>
        </w:rPr>
        <w:t>牵头</w:t>
      </w:r>
      <w:r>
        <w:rPr>
          <w:rFonts w:ascii="楷体_GB2312" w:eastAsia="楷体_GB2312" w:hAnsiTheme="minorHAnsi" w:cstheme="minorBidi"/>
          <w:lang w:val="en-US" w:bidi="ar-SA"/>
        </w:rPr>
        <w:t>单位</w:t>
      </w:r>
      <w:r>
        <w:rPr>
          <w:rFonts w:hint="eastAsia" w:ascii="楷体_GB2312" w:eastAsia="楷体_GB2312" w:hAnsiTheme="minorHAnsi" w:cstheme="minorBidi"/>
          <w:lang w:val="en-US" w:bidi="ar-SA"/>
        </w:rPr>
        <w:t>：区发改局</w:t>
      </w:r>
      <w:r>
        <w:rPr>
          <w:rFonts w:ascii="楷体_GB2312" w:eastAsia="楷体_GB2312" w:hAnsiTheme="minorHAnsi" w:cstheme="minorBidi"/>
          <w:lang w:val="en-US" w:bidi="ar-SA"/>
        </w:rPr>
        <w:t>，</w:t>
      </w:r>
      <w:r>
        <w:rPr>
          <w:rFonts w:hint="eastAsia" w:ascii="楷体_GB2312" w:eastAsia="楷体_GB2312" w:hAnsiTheme="minorHAnsi" w:cstheme="minorBidi"/>
          <w:lang w:val="en-US" w:bidi="ar-SA"/>
        </w:rPr>
        <w:t>责任</w:t>
      </w:r>
      <w:r>
        <w:rPr>
          <w:rFonts w:ascii="楷体_GB2312" w:eastAsia="楷体_GB2312" w:hAnsiTheme="minorHAnsi" w:cstheme="minorBidi"/>
          <w:lang w:val="en-US" w:bidi="ar-SA"/>
        </w:rPr>
        <w:t>单位</w:t>
      </w:r>
      <w:r>
        <w:rPr>
          <w:rFonts w:hint="eastAsia" w:ascii="楷体_GB2312" w:eastAsia="楷体_GB2312" w:hAnsiTheme="minorHAnsi" w:cstheme="minorBidi"/>
          <w:lang w:val="en-US" w:bidi="ar-SA"/>
        </w:rPr>
        <w:t>：</w:t>
      </w:r>
      <w:r>
        <w:rPr>
          <w:rFonts w:ascii="楷体_GB2312" w:eastAsia="楷体_GB2312" w:hAnsiTheme="minorHAnsi" w:cstheme="minorBidi"/>
          <w:lang w:val="en-US" w:bidi="ar-SA"/>
        </w:rPr>
        <w:t>区政府各工作部门）</w:t>
      </w:r>
    </w:p>
    <w:p>
      <w:pPr>
        <w:pStyle w:val="10"/>
        <w:spacing w:line="540" w:lineRule="exact"/>
      </w:pPr>
      <w:r>
        <w:rPr>
          <w:rFonts w:hint="eastAsia" w:ascii="仿宋_GB2312" w:eastAsia="仿宋_GB2312"/>
        </w:rPr>
        <w:t>14.提升“12345”便民热线办理水平。加强对“12345政务服务热线”平台管理，落实责任单位相关工作督办考核，</w:t>
      </w:r>
      <w:r>
        <w:rPr>
          <w:rFonts w:hint="eastAsia" w:ascii="仿宋_GB2312" w:eastAsia="仿宋_GB2312"/>
          <w:lang w:val="en-US" w:eastAsia="zh-CN"/>
        </w:rPr>
        <w:t>实现热线工单办理全流程监管，力争</w:t>
      </w:r>
      <w:r>
        <w:rPr>
          <w:rFonts w:hint="eastAsia" w:ascii="仿宋_GB2312" w:eastAsia="仿宋_GB2312"/>
        </w:rPr>
        <w:t>全年热线办结率达到96%以上，满意率达到96%以上。</w:t>
      </w:r>
      <w:r>
        <w:rPr>
          <w:rFonts w:ascii="楷体_GB2312" w:eastAsia="楷体_GB2312"/>
        </w:rPr>
        <w:t>（牵头单位：</w:t>
      </w:r>
      <w:r>
        <w:rPr>
          <w:rFonts w:hint="eastAsia" w:ascii="楷体_GB2312" w:eastAsia="楷体_GB2312"/>
        </w:rPr>
        <w:t>区数字化信息服务中心</w:t>
      </w:r>
      <w:r>
        <w:rPr>
          <w:rFonts w:ascii="楷体_GB2312" w:eastAsia="楷体_GB2312"/>
        </w:rPr>
        <w:t>，责任单位：区政府各工作部门、各镇街）</w:t>
      </w:r>
    </w:p>
    <w:p>
      <w:pPr>
        <w:pStyle w:val="14"/>
        <w:spacing w:line="540" w:lineRule="exact"/>
        <w:ind w:firstLineChars="63"/>
        <w:rPr>
          <w:b/>
        </w:rPr>
      </w:pPr>
      <w:r>
        <w:rPr>
          <w:rFonts w:hint="eastAsia"/>
          <w:b/>
        </w:rPr>
        <w:t>（五）做好安全服务保障</w:t>
      </w:r>
    </w:p>
    <w:p>
      <w:pPr>
        <w:pStyle w:val="10"/>
        <w:spacing w:line="540" w:lineRule="exact"/>
      </w:pPr>
      <w:r>
        <w:rPr>
          <w:rFonts w:hint="eastAsia" w:ascii="仿宋_GB2312" w:eastAsia="仿宋_GB2312"/>
        </w:rPr>
        <w:t>15.加强区政府网站运行监管。</w:t>
      </w:r>
      <w:r>
        <w:rPr>
          <w:rFonts w:hint="eastAsia" w:ascii="仿宋_GB2312" w:eastAsia="仿宋_GB2312"/>
          <w:lang w:val="en-US" w:eastAsia="zh-CN"/>
        </w:rPr>
        <w:t>加强政府</w:t>
      </w:r>
      <w:r>
        <w:rPr>
          <w:rFonts w:hint="eastAsia" w:ascii="仿宋_GB2312" w:eastAsia="仿宋_GB2312"/>
        </w:rPr>
        <w:t>网站日常管理维护，严格落实信息</w:t>
      </w:r>
      <w:r>
        <w:rPr>
          <w:rFonts w:hint="eastAsia" w:ascii="仿宋_GB2312" w:eastAsia="仿宋_GB2312"/>
          <w:lang w:val="en-US" w:eastAsia="zh-CN"/>
        </w:rPr>
        <w:t>发布</w:t>
      </w:r>
      <w:r>
        <w:rPr>
          <w:rFonts w:hint="eastAsia" w:ascii="仿宋_GB2312" w:eastAsia="仿宋_GB2312"/>
          <w:lang w:eastAsia="zh-CN"/>
        </w:rPr>
        <w:t>“</w:t>
      </w:r>
      <w:r>
        <w:rPr>
          <w:rFonts w:hint="eastAsia" w:ascii="仿宋_GB2312" w:eastAsia="仿宋_GB2312"/>
          <w:lang w:val="en-US" w:eastAsia="zh-CN"/>
        </w:rPr>
        <w:t>三审三校</w:t>
      </w:r>
      <w:r>
        <w:rPr>
          <w:rFonts w:hint="eastAsia" w:ascii="仿宋_GB2312" w:eastAsia="仿宋_GB2312"/>
          <w:lang w:eastAsia="zh-CN"/>
        </w:rPr>
        <w:t>”</w:t>
      </w:r>
      <w:r>
        <w:rPr>
          <w:rFonts w:hint="eastAsia" w:ascii="仿宋_GB2312" w:eastAsia="仿宋_GB2312"/>
          <w:lang w:val="en-US" w:eastAsia="zh-CN"/>
        </w:rPr>
        <w:t>制度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val="en-US" w:eastAsia="zh-CN"/>
        </w:rPr>
        <w:t>及时</w:t>
      </w:r>
      <w:r>
        <w:rPr>
          <w:rFonts w:hint="eastAsia" w:ascii="仿宋_GB2312" w:eastAsia="仿宋_GB2312"/>
        </w:rPr>
        <w:t>做好网站问题整改及网民留言办理等工作，完成政府网站的适老化改造。</w:t>
      </w:r>
      <w:r>
        <w:rPr>
          <w:rFonts w:ascii="楷体_GB2312" w:eastAsia="楷体_GB2312"/>
        </w:rPr>
        <w:t>（牵头单位：</w:t>
      </w:r>
      <w:r>
        <w:rPr>
          <w:rFonts w:hint="eastAsia" w:ascii="楷体_GB2312" w:eastAsia="楷体_GB2312"/>
        </w:rPr>
        <w:t>区数字化信息服务中心</w:t>
      </w:r>
      <w:r>
        <w:rPr>
          <w:rFonts w:ascii="楷体_GB2312" w:eastAsia="楷体_GB2312"/>
        </w:rPr>
        <w:t>，责任单位：区政府各工作部门、各镇街）</w:t>
      </w:r>
    </w:p>
    <w:p>
      <w:pPr>
        <w:pStyle w:val="10"/>
        <w:spacing w:line="540" w:lineRule="exact"/>
      </w:pPr>
      <w:r>
        <w:rPr>
          <w:rFonts w:hint="eastAsia" w:ascii="仿宋_GB2312" w:eastAsia="仿宋_GB2312"/>
        </w:rPr>
        <w:t>16.加强区政务机房安全保障。制订突发网络安全应急预案，强化安全运维，定期开展入网设备扫描和风险通报机制，与网安部门和网络使用部门</w:t>
      </w:r>
      <w:r>
        <w:rPr>
          <w:rFonts w:hint="eastAsia" w:ascii="仿宋_GB2312" w:eastAsia="仿宋_GB2312"/>
          <w:lang w:val="en-US" w:eastAsia="zh-CN"/>
        </w:rPr>
        <w:t>畅通</w:t>
      </w:r>
      <w:r>
        <w:rPr>
          <w:rFonts w:hint="eastAsia" w:ascii="仿宋_GB2312" w:eastAsia="仿宋_GB2312"/>
        </w:rPr>
        <w:t>信息互通机制，及时响应并处置各类网络风险隐患，保障网络安全责任落实</w:t>
      </w:r>
      <w:r>
        <w:rPr>
          <w:rFonts w:hint="eastAsia" w:ascii="仿宋_GB2312" w:eastAsia="仿宋_GB2312"/>
          <w:lang w:val="en-US" w:eastAsia="zh-CN"/>
        </w:rPr>
        <w:t>落细</w:t>
      </w:r>
      <w:r>
        <w:rPr>
          <w:rFonts w:hint="eastAsia" w:ascii="仿宋_GB2312" w:eastAsia="仿宋_GB2312"/>
        </w:rPr>
        <w:t>。</w:t>
      </w:r>
      <w:r>
        <w:t>（</w:t>
      </w:r>
      <w:r>
        <w:rPr>
          <w:rFonts w:hint="eastAsia" w:ascii="楷体_GB2312" w:eastAsia="楷体_GB2312"/>
        </w:rPr>
        <w:t>牵头</w:t>
      </w:r>
      <w:r>
        <w:rPr>
          <w:rFonts w:ascii="楷体_GB2312" w:eastAsia="楷体_GB2312"/>
        </w:rPr>
        <w:t>单位：</w:t>
      </w:r>
      <w:r>
        <w:rPr>
          <w:rFonts w:hint="eastAsia" w:ascii="楷体_GB2312" w:eastAsia="楷体_GB2312"/>
        </w:rPr>
        <w:t>区数字化信息服务中心，</w:t>
      </w:r>
      <w:r>
        <w:rPr>
          <w:rFonts w:ascii="楷体_GB2312" w:eastAsia="楷体_GB2312"/>
        </w:rPr>
        <w:t>责任单位：区政府各工作部门、各镇街）</w:t>
      </w:r>
    </w:p>
    <w:p>
      <w:pPr>
        <w:pStyle w:val="11"/>
        <w:spacing w:line="540" w:lineRule="exact"/>
        <w:ind w:firstLine="632"/>
      </w:pPr>
      <w:r>
        <w:rPr>
          <w:rFonts w:hint="eastAsia"/>
        </w:rPr>
        <w:t>三、工作要求</w:t>
      </w:r>
    </w:p>
    <w:p>
      <w:pPr>
        <w:pStyle w:val="10"/>
        <w:spacing w:line="540" w:lineRule="exact"/>
        <w:rPr>
          <w:rFonts w:ascii="楷体_GB2312" w:eastAsia="楷体_GB2312"/>
        </w:rPr>
      </w:pPr>
      <w:r>
        <w:rPr>
          <w:rFonts w:hint="eastAsia" w:ascii="仿宋_GB2312" w:eastAsia="仿宋_GB2312"/>
        </w:rPr>
        <w:t>17.健全工作机制。以“市区一盘棋”为标准，严格落实《金台区信息化项目管理办法》《金台区信息化专项资金管理办法》，加强政务信息化建设管理，严格审核流程，做好技术审核、预算评审、项目验收，确保政务信息化项目建设管理规范。</w:t>
      </w:r>
      <w:r>
        <w:rPr>
          <w:rFonts w:ascii="楷体_GB2312" w:eastAsia="楷体_GB2312"/>
        </w:rPr>
        <w:t>（</w:t>
      </w:r>
      <w:r>
        <w:rPr>
          <w:rFonts w:hint="eastAsia" w:ascii="楷体_GB2312" w:eastAsia="楷体_GB2312"/>
        </w:rPr>
        <w:t>牵头</w:t>
      </w:r>
      <w:r>
        <w:rPr>
          <w:rFonts w:ascii="楷体_GB2312" w:eastAsia="楷体_GB2312"/>
        </w:rPr>
        <w:t>单位：区</w:t>
      </w:r>
      <w:r>
        <w:rPr>
          <w:rFonts w:hint="eastAsia" w:ascii="楷体_GB2312" w:eastAsia="楷体_GB2312"/>
        </w:rPr>
        <w:t>财政局、区发改局，</w:t>
      </w:r>
      <w:r>
        <w:rPr>
          <w:rFonts w:ascii="楷体_GB2312" w:eastAsia="楷体_GB2312"/>
        </w:rPr>
        <w:t>责任单位：区政府各工作部门、各镇街）</w:t>
      </w:r>
    </w:p>
    <w:p>
      <w:pPr>
        <w:pStyle w:val="10"/>
        <w:spacing w:line="540" w:lineRule="exact"/>
      </w:pPr>
      <w:r>
        <w:rPr>
          <w:rFonts w:hint="eastAsia" w:ascii="仿宋_GB2312" w:eastAsia="仿宋_GB2312"/>
        </w:rPr>
        <w:t>18.强化政策扶持。围绕“市场引进，政策扶持”的方式，制定支持数字化产业发展政策；加强对省市沟通协调，在数字产业发展、数字应用创新等方面争取资金支持。</w:t>
      </w:r>
      <w:r>
        <w:rPr>
          <w:rFonts w:ascii="楷体_GB2312" w:eastAsia="楷体_GB2312"/>
        </w:rPr>
        <w:t>（</w:t>
      </w:r>
      <w:r>
        <w:rPr>
          <w:rFonts w:hint="eastAsia" w:ascii="楷体_GB2312" w:eastAsia="楷体_GB2312"/>
        </w:rPr>
        <w:t>牵头</w:t>
      </w:r>
      <w:r>
        <w:rPr>
          <w:rFonts w:ascii="楷体_GB2312" w:eastAsia="楷体_GB2312"/>
        </w:rPr>
        <w:t>单位：</w:t>
      </w:r>
      <w:r>
        <w:rPr>
          <w:rFonts w:hint="eastAsia" w:ascii="楷体_GB2312" w:eastAsia="楷体_GB2312"/>
        </w:rPr>
        <w:t>区发改局、区财政局，</w:t>
      </w:r>
      <w:r>
        <w:rPr>
          <w:rFonts w:ascii="楷体_GB2312" w:eastAsia="楷体_GB2312"/>
        </w:rPr>
        <w:t>责任单位：区政府各工作部门、各镇街）</w:t>
      </w:r>
    </w:p>
    <w:p>
      <w:pPr>
        <w:pStyle w:val="22"/>
        <w:ind w:firstLine="632"/>
        <w:rPr>
          <w:rFonts w:ascii="楷体_GB2312" w:eastAsia="楷体_GB2312" w:hAnsiTheme="minorHAnsi" w:cstheme="minorBidi"/>
          <w:lang w:val="en-US" w:bidi="ar-SA"/>
        </w:rPr>
      </w:pPr>
      <w:r>
        <w:rPr>
          <w:rFonts w:hint="eastAsia" w:ascii="仿宋_GB2312" w:hAnsiTheme="minorHAnsi" w:cstheme="minorBidi"/>
          <w:lang w:val="en-US" w:bidi="ar-SA"/>
        </w:rPr>
        <w:t>19.</w:t>
      </w:r>
      <w:r>
        <w:rPr>
          <w:rFonts w:hint="eastAsia" w:ascii="仿宋_GB2312"/>
        </w:rPr>
        <w:t>强化考核督导。发挥考核作用，加大对新型智慧城市及数字政府建设工作的检查督导力度，按照市对区考核指标要求制定年度考核计划。</w:t>
      </w:r>
      <w:r>
        <w:rPr>
          <w:rFonts w:ascii="楷体_GB2312" w:eastAsia="楷体_GB2312" w:hAnsiTheme="minorHAnsi" w:cstheme="minorBidi"/>
          <w:lang w:val="en-US" w:bidi="ar-SA"/>
        </w:rPr>
        <w:t>（牵头单位：区政府办，责任单位：区级各部门、各镇街）</w:t>
      </w:r>
    </w:p>
    <w:p>
      <w:pPr>
        <w:pStyle w:val="10"/>
        <w:spacing w:line="54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984" w:right="1474" w:bottom="1871" w:left="1587" w:header="850" w:footer="1417" w:gutter="0"/>
      <w:pgNumType w:start="2"/>
      <w:cols w:space="425" w:num="1"/>
      <w:titlePg/>
      <w:docGrid w:type="linesAndChars" w:linePitch="590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napToGrid/>
      <w:ind w:firstLine="7560" w:firstLineChars="2700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napToGrid/>
      <w:ind w:left="320" w:leftChars="100"/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napToGrid/>
      <w:ind w:right="320" w:rightChars="100"/>
      <w:jc w:val="both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MDdiYjU5Nzk0ZDQwYjc1MDQxODZjOWQzYjVkNTEifQ=="/>
  </w:docVars>
  <w:rsids>
    <w:rsidRoot w:val="007F7ACD"/>
    <w:rsid w:val="0002110A"/>
    <w:rsid w:val="0006212E"/>
    <w:rsid w:val="00097574"/>
    <w:rsid w:val="0009797D"/>
    <w:rsid w:val="000C73E3"/>
    <w:rsid w:val="000D6E8A"/>
    <w:rsid w:val="000E7279"/>
    <w:rsid w:val="00162969"/>
    <w:rsid w:val="00173B21"/>
    <w:rsid w:val="00181BE9"/>
    <w:rsid w:val="0019672C"/>
    <w:rsid w:val="001A57BC"/>
    <w:rsid w:val="001B2FD3"/>
    <w:rsid w:val="001D5190"/>
    <w:rsid w:val="001D7F1E"/>
    <w:rsid w:val="001F4205"/>
    <w:rsid w:val="002014C6"/>
    <w:rsid w:val="002235C2"/>
    <w:rsid w:val="00225B0B"/>
    <w:rsid w:val="00236E2F"/>
    <w:rsid w:val="002471A0"/>
    <w:rsid w:val="00257CD8"/>
    <w:rsid w:val="002734A3"/>
    <w:rsid w:val="00286D8C"/>
    <w:rsid w:val="002B54FC"/>
    <w:rsid w:val="002C0B97"/>
    <w:rsid w:val="003108EA"/>
    <w:rsid w:val="00327C96"/>
    <w:rsid w:val="00342D4E"/>
    <w:rsid w:val="00364D76"/>
    <w:rsid w:val="00393BCC"/>
    <w:rsid w:val="00396F7D"/>
    <w:rsid w:val="003A1916"/>
    <w:rsid w:val="003A20CC"/>
    <w:rsid w:val="003B7EF9"/>
    <w:rsid w:val="003C5A48"/>
    <w:rsid w:val="003D5F52"/>
    <w:rsid w:val="004060BA"/>
    <w:rsid w:val="0040721E"/>
    <w:rsid w:val="0043031E"/>
    <w:rsid w:val="00443FD7"/>
    <w:rsid w:val="004916D5"/>
    <w:rsid w:val="004A2655"/>
    <w:rsid w:val="004B0499"/>
    <w:rsid w:val="004E1B81"/>
    <w:rsid w:val="004E5571"/>
    <w:rsid w:val="004F48B9"/>
    <w:rsid w:val="00512D29"/>
    <w:rsid w:val="00515718"/>
    <w:rsid w:val="00544F0B"/>
    <w:rsid w:val="00563056"/>
    <w:rsid w:val="005756DB"/>
    <w:rsid w:val="0059036D"/>
    <w:rsid w:val="00593B1D"/>
    <w:rsid w:val="00596C4C"/>
    <w:rsid w:val="005B246A"/>
    <w:rsid w:val="005B3E3C"/>
    <w:rsid w:val="005B53CC"/>
    <w:rsid w:val="005C320F"/>
    <w:rsid w:val="005C5035"/>
    <w:rsid w:val="005D0676"/>
    <w:rsid w:val="005D5D40"/>
    <w:rsid w:val="005F5176"/>
    <w:rsid w:val="006107EF"/>
    <w:rsid w:val="0061469A"/>
    <w:rsid w:val="00636C36"/>
    <w:rsid w:val="0064769E"/>
    <w:rsid w:val="00654771"/>
    <w:rsid w:val="006572FB"/>
    <w:rsid w:val="006574B3"/>
    <w:rsid w:val="006622C7"/>
    <w:rsid w:val="00665140"/>
    <w:rsid w:val="006755D0"/>
    <w:rsid w:val="006805A1"/>
    <w:rsid w:val="00696448"/>
    <w:rsid w:val="006D385A"/>
    <w:rsid w:val="006D5B12"/>
    <w:rsid w:val="006D6AA5"/>
    <w:rsid w:val="006D7EFA"/>
    <w:rsid w:val="007007E2"/>
    <w:rsid w:val="007078B2"/>
    <w:rsid w:val="0071443B"/>
    <w:rsid w:val="007178D5"/>
    <w:rsid w:val="00736DEA"/>
    <w:rsid w:val="00745B1E"/>
    <w:rsid w:val="00753E65"/>
    <w:rsid w:val="00754755"/>
    <w:rsid w:val="00773FE7"/>
    <w:rsid w:val="00784F72"/>
    <w:rsid w:val="00785E2F"/>
    <w:rsid w:val="00786B4A"/>
    <w:rsid w:val="007F7ACD"/>
    <w:rsid w:val="00801216"/>
    <w:rsid w:val="00801E88"/>
    <w:rsid w:val="00817F8C"/>
    <w:rsid w:val="00826E1A"/>
    <w:rsid w:val="00833874"/>
    <w:rsid w:val="00840454"/>
    <w:rsid w:val="0085766C"/>
    <w:rsid w:val="00870E92"/>
    <w:rsid w:val="00875CA0"/>
    <w:rsid w:val="008A08C3"/>
    <w:rsid w:val="008C1447"/>
    <w:rsid w:val="008D0B41"/>
    <w:rsid w:val="008D0B8A"/>
    <w:rsid w:val="008D37D8"/>
    <w:rsid w:val="008D5AC2"/>
    <w:rsid w:val="008D5D37"/>
    <w:rsid w:val="008D611A"/>
    <w:rsid w:val="008E0F4A"/>
    <w:rsid w:val="008E15C5"/>
    <w:rsid w:val="008E2D6A"/>
    <w:rsid w:val="009034D0"/>
    <w:rsid w:val="009405A7"/>
    <w:rsid w:val="00947A0E"/>
    <w:rsid w:val="0096005D"/>
    <w:rsid w:val="009737FD"/>
    <w:rsid w:val="009D144F"/>
    <w:rsid w:val="009F7179"/>
    <w:rsid w:val="00A035B6"/>
    <w:rsid w:val="00A10B9C"/>
    <w:rsid w:val="00A23B85"/>
    <w:rsid w:val="00A33B7B"/>
    <w:rsid w:val="00A41415"/>
    <w:rsid w:val="00A52768"/>
    <w:rsid w:val="00A577AC"/>
    <w:rsid w:val="00A76D48"/>
    <w:rsid w:val="00A92C6D"/>
    <w:rsid w:val="00AA37F3"/>
    <w:rsid w:val="00AC1D4D"/>
    <w:rsid w:val="00AD60F4"/>
    <w:rsid w:val="00AE35E1"/>
    <w:rsid w:val="00B06217"/>
    <w:rsid w:val="00B57E4A"/>
    <w:rsid w:val="00B63EDB"/>
    <w:rsid w:val="00B65189"/>
    <w:rsid w:val="00B667E8"/>
    <w:rsid w:val="00B66B31"/>
    <w:rsid w:val="00B955EB"/>
    <w:rsid w:val="00BB01D1"/>
    <w:rsid w:val="00BB0469"/>
    <w:rsid w:val="00BD2A56"/>
    <w:rsid w:val="00BE654A"/>
    <w:rsid w:val="00C0439B"/>
    <w:rsid w:val="00C166DC"/>
    <w:rsid w:val="00C35749"/>
    <w:rsid w:val="00C46A37"/>
    <w:rsid w:val="00C57777"/>
    <w:rsid w:val="00C71205"/>
    <w:rsid w:val="00C86018"/>
    <w:rsid w:val="00CB019F"/>
    <w:rsid w:val="00CB1C49"/>
    <w:rsid w:val="00CB755C"/>
    <w:rsid w:val="00CB7A5C"/>
    <w:rsid w:val="00CC013E"/>
    <w:rsid w:val="00D11C27"/>
    <w:rsid w:val="00D14F52"/>
    <w:rsid w:val="00D20405"/>
    <w:rsid w:val="00D272D7"/>
    <w:rsid w:val="00D41F2B"/>
    <w:rsid w:val="00D43C7B"/>
    <w:rsid w:val="00D4433A"/>
    <w:rsid w:val="00D519DD"/>
    <w:rsid w:val="00D6355A"/>
    <w:rsid w:val="00D6601B"/>
    <w:rsid w:val="00D909DB"/>
    <w:rsid w:val="00D925F3"/>
    <w:rsid w:val="00D9612B"/>
    <w:rsid w:val="00DA2B1B"/>
    <w:rsid w:val="00DA521D"/>
    <w:rsid w:val="00E0758A"/>
    <w:rsid w:val="00E13249"/>
    <w:rsid w:val="00E23E6B"/>
    <w:rsid w:val="00E96D98"/>
    <w:rsid w:val="00EC08F1"/>
    <w:rsid w:val="00EC6BF2"/>
    <w:rsid w:val="00ED2588"/>
    <w:rsid w:val="00EF4DB6"/>
    <w:rsid w:val="00F20494"/>
    <w:rsid w:val="00F21E2F"/>
    <w:rsid w:val="00F275C2"/>
    <w:rsid w:val="00F36A13"/>
    <w:rsid w:val="00F64FC5"/>
    <w:rsid w:val="00F716E3"/>
    <w:rsid w:val="00F74345"/>
    <w:rsid w:val="00F94D28"/>
    <w:rsid w:val="00FB1B22"/>
    <w:rsid w:val="00FF0237"/>
    <w:rsid w:val="11B15F9A"/>
    <w:rsid w:val="1A7445B8"/>
    <w:rsid w:val="21344AC0"/>
    <w:rsid w:val="30647D69"/>
    <w:rsid w:val="3439569A"/>
    <w:rsid w:val="3EE1500F"/>
    <w:rsid w:val="41471DE6"/>
    <w:rsid w:val="4F5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标题"/>
    <w:basedOn w:val="1"/>
    <w:link w:val="9"/>
    <w:qFormat/>
    <w:uiPriority w:val="0"/>
    <w:pPr>
      <w:spacing w:line="560" w:lineRule="exact"/>
      <w:jc w:val="center"/>
    </w:pPr>
    <w:rPr>
      <w:rFonts w:eastAsia="方正小标宋简体"/>
      <w:sz w:val="44"/>
    </w:rPr>
  </w:style>
  <w:style w:type="character" w:customStyle="1" w:styleId="9">
    <w:name w:val="正文标题 字符"/>
    <w:basedOn w:val="7"/>
    <w:link w:val="8"/>
    <w:qFormat/>
    <w:uiPriority w:val="0"/>
    <w:rPr>
      <w:rFonts w:eastAsia="方正小标宋简体"/>
      <w:sz w:val="44"/>
    </w:rPr>
  </w:style>
  <w:style w:type="paragraph" w:customStyle="1" w:styleId="10">
    <w:name w:val="公文正文"/>
    <w:basedOn w:val="1"/>
    <w:link w:val="19"/>
    <w:qFormat/>
    <w:uiPriority w:val="0"/>
    <w:pPr>
      <w:spacing w:line="560" w:lineRule="exact"/>
      <w:ind w:firstLine="634"/>
    </w:pPr>
  </w:style>
  <w:style w:type="paragraph" w:customStyle="1" w:styleId="11">
    <w:name w:val="公文一级标题"/>
    <w:basedOn w:val="2"/>
    <w:link w:val="12"/>
    <w:qFormat/>
    <w:uiPriority w:val="0"/>
    <w:pPr>
      <w:snapToGrid w:val="0"/>
      <w:spacing w:before="0" w:after="0" w:line="560" w:lineRule="exact"/>
      <w:ind w:firstLine="643" w:firstLineChars="200"/>
    </w:pPr>
    <w:rPr>
      <w:rFonts w:eastAsia="黑体"/>
      <w:b w:val="0"/>
      <w:sz w:val="32"/>
    </w:rPr>
  </w:style>
  <w:style w:type="character" w:customStyle="1" w:styleId="12">
    <w:name w:val="公文一级标题 字符"/>
    <w:basedOn w:val="7"/>
    <w:link w:val="11"/>
    <w:qFormat/>
    <w:uiPriority w:val="0"/>
    <w:rPr>
      <w:rFonts w:eastAsia="黑体"/>
      <w:bCs/>
      <w:kern w:val="44"/>
      <w:sz w:val="32"/>
      <w:szCs w:val="44"/>
    </w:r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公文二级楷体"/>
    <w:basedOn w:val="3"/>
    <w:next w:val="10"/>
    <w:link w:val="15"/>
    <w:qFormat/>
    <w:uiPriority w:val="0"/>
    <w:pPr>
      <w:adjustRightInd w:val="0"/>
      <w:snapToGrid w:val="0"/>
      <w:spacing w:before="0" w:after="0" w:line="560" w:lineRule="exact"/>
      <w:ind w:firstLine="200" w:firstLineChars="200"/>
    </w:pPr>
    <w:rPr>
      <w:rFonts w:eastAsia="楷体"/>
      <w:b w:val="0"/>
    </w:rPr>
  </w:style>
  <w:style w:type="character" w:customStyle="1" w:styleId="15">
    <w:name w:val="公文二级楷体 字符"/>
    <w:basedOn w:val="16"/>
    <w:link w:val="14"/>
    <w:qFormat/>
    <w:uiPriority w:val="0"/>
    <w:rPr>
      <w:rFonts w:eastAsia="楷体" w:asciiTheme="majorHAnsi" w:hAnsiTheme="majorHAnsi" w:cstheme="majorBidi"/>
      <w:b w:val="0"/>
      <w:sz w:val="32"/>
      <w:szCs w:val="32"/>
    </w:rPr>
  </w:style>
  <w:style w:type="character" w:customStyle="1" w:styleId="16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公文:标题 Char"/>
    <w:link w:val="18"/>
    <w:qFormat/>
    <w:uiPriority w:val="0"/>
    <w:rPr>
      <w:rFonts w:eastAsia="方正小标宋简体"/>
      <w:sz w:val="44"/>
    </w:rPr>
  </w:style>
  <w:style w:type="paragraph" w:customStyle="1" w:styleId="18">
    <w:name w:val="公文:标题"/>
    <w:basedOn w:val="1"/>
    <w:link w:val="17"/>
    <w:qFormat/>
    <w:uiPriority w:val="0"/>
    <w:pPr>
      <w:autoSpaceDE w:val="0"/>
      <w:autoSpaceDN w:val="0"/>
      <w:spacing w:line="560" w:lineRule="exact"/>
      <w:jc w:val="center"/>
    </w:pPr>
    <w:rPr>
      <w:rFonts w:eastAsia="方正小标宋简体"/>
      <w:sz w:val="44"/>
    </w:rPr>
  </w:style>
  <w:style w:type="character" w:customStyle="1" w:styleId="19">
    <w:name w:val="公文正文 Char"/>
    <w:link w:val="10"/>
    <w:qFormat/>
    <w:uiPriority w:val="0"/>
    <w:rPr>
      <w:rFonts w:eastAsia="仿宋"/>
      <w:sz w:val="32"/>
    </w:rPr>
  </w:style>
  <w:style w:type="character" w:customStyle="1" w:styleId="20">
    <w:name w:val="页眉 字符"/>
    <w:basedOn w:val="7"/>
    <w:link w:val="5"/>
    <w:qFormat/>
    <w:uiPriority w:val="99"/>
    <w:rPr>
      <w:rFonts w:eastAsia="仿宋"/>
      <w:sz w:val="18"/>
      <w:szCs w:val="18"/>
    </w:rPr>
  </w:style>
  <w:style w:type="character" w:customStyle="1" w:styleId="21">
    <w:name w:val="页脚 字符"/>
    <w:basedOn w:val="7"/>
    <w:link w:val="4"/>
    <w:qFormat/>
    <w:uiPriority w:val="99"/>
    <w:rPr>
      <w:rFonts w:eastAsia="仿宋"/>
      <w:sz w:val="18"/>
      <w:szCs w:val="18"/>
    </w:rPr>
  </w:style>
  <w:style w:type="paragraph" w:customStyle="1" w:styleId="22">
    <w:name w:val="公文正文部分"/>
    <w:basedOn w:val="1"/>
    <w:qFormat/>
    <w:uiPriority w:val="0"/>
    <w:pPr>
      <w:spacing w:line="560" w:lineRule="exact"/>
      <w:ind w:firstLine="712" w:firstLineChars="200"/>
      <w:outlineLvl w:val="3"/>
    </w:pPr>
    <w:rPr>
      <w:rFonts w:ascii="宋体" w:hAnsi="宋体" w:eastAsia="仿宋_GB2312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17C92-26D6-4673-9CFA-D96E7389BA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2831</Words>
  <Characters>2911</Characters>
  <Lines>21</Lines>
  <Paragraphs>5</Paragraphs>
  <TotalTime>15</TotalTime>
  <ScaleCrop>false</ScaleCrop>
  <LinksUpToDate>false</LinksUpToDate>
  <CharactersWithSpaces>2933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2023-05-23T02:23:00Z</dcterms:created>
  <dc:creator>李 敏</dc:creator>
  <cp:lastModifiedBy>小幸福！</cp:lastModifiedBy>
  <cp:lastPrinted>2024-05-30T02:59:00Z</cp:lastPrinted>
  <dcterms:modified xsi:type="dcterms:W3CDTF">2024-06-07T07:57:57Z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B9F3B4C89C924903B1F79AD723214678_13</vt:lpwstr>
  </property>
</Properties>
</file>