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42B1C">
      <w:pPr>
        <w:adjustRightInd w:val="0"/>
        <w:snapToGrid w:val="0"/>
        <w:spacing w:line="640" w:lineRule="exact"/>
        <w:jc w:val="center"/>
        <w:rPr>
          <w:rFonts w:eastAsia="方正小标宋简体" w:cs="方正小标宋简体"/>
          <w:sz w:val="44"/>
          <w:szCs w:val="44"/>
        </w:rPr>
      </w:pPr>
      <w:bookmarkStart w:id="3" w:name="_GoBack"/>
      <w:r>
        <w:rPr>
          <w:rFonts w:hint="eastAsia" w:eastAsia="方正小标宋简体" w:cs="方正小标宋简体"/>
          <w:sz w:val="44"/>
          <w:szCs w:val="44"/>
        </w:rPr>
        <w:t>宝鸡市金台区国民经济和社会发展第十五个五年规划编制工作总体方案</w:t>
      </w:r>
    </w:p>
    <w:p w14:paraId="0AC78985">
      <w:pPr>
        <w:adjustRightInd w:val="0"/>
        <w:snapToGrid w:val="0"/>
        <w:spacing w:line="560" w:lineRule="exact"/>
        <w:rPr>
          <w:szCs w:val="32"/>
        </w:rPr>
      </w:pPr>
    </w:p>
    <w:bookmarkEnd w:id="3"/>
    <w:p w14:paraId="11D8E08A">
      <w:pPr>
        <w:spacing w:line="560" w:lineRule="exact"/>
        <w:ind w:firstLine="640" w:firstLineChars="200"/>
        <w:rPr>
          <w:rFonts w:ascii="仿宋_GB2312" w:hAnsi="仿宋_GB2312" w:eastAsia="仿宋_GB2312" w:cs="仿宋_GB2312"/>
          <w:sz w:val="32"/>
          <w:szCs w:val="32"/>
        </w:rPr>
      </w:pPr>
      <w:r>
        <w:rPr>
          <w:rFonts w:hint="eastAsia" w:eastAsia="仿宋_GB2312"/>
          <w:color w:val="000000"/>
          <w:sz w:val="32"/>
          <w:szCs w:val="32"/>
        </w:rPr>
        <w:t>“十五五”（2026-2030年）时期，是我国基本实现社会主义现代化承上启下、加快转入高质量发展轨道的关键期，也是我区追赶超越、跨越发展的历史机遇期和攻坚突破期。以习近平新时代中国特色社会主义思想为指导，科学编制好全区国民经济和社会发展第十五个五年规划（以下简称“十五五”规划），具有重要意义。按照中央关于“十五五”规划编制的决策精神和省市有关要求，结合我区实际，提出如下工作方案。</w:t>
      </w:r>
    </w:p>
    <w:p w14:paraId="21698A67">
      <w:pPr>
        <w:adjustRightInd w:val="0"/>
        <w:snapToGrid w:val="0"/>
        <w:spacing w:line="560" w:lineRule="exact"/>
        <w:ind w:firstLine="640" w:firstLineChars="200"/>
        <w:rPr>
          <w:rFonts w:eastAsia="黑体" w:cs="黑体"/>
          <w:sz w:val="32"/>
          <w:szCs w:val="32"/>
        </w:rPr>
      </w:pPr>
      <w:r>
        <w:rPr>
          <w:rFonts w:hint="eastAsia" w:eastAsia="黑体" w:cs="黑体"/>
          <w:sz w:val="32"/>
          <w:szCs w:val="32"/>
        </w:rPr>
        <w:t>一、指导思想</w:t>
      </w:r>
    </w:p>
    <w:p w14:paraId="22038CD1">
      <w:pPr>
        <w:spacing w:line="560" w:lineRule="exact"/>
        <w:ind w:firstLine="640" w:firstLineChars="200"/>
        <w:rPr>
          <w:rFonts w:eastAsia="仿宋_GB2312"/>
          <w:color w:val="000000"/>
          <w:sz w:val="32"/>
          <w:szCs w:val="32"/>
        </w:rPr>
      </w:pPr>
      <w:r>
        <w:rPr>
          <w:rFonts w:hint="eastAsia" w:eastAsia="仿宋_GB2312"/>
          <w:color w:val="000000"/>
          <w:sz w:val="32"/>
          <w:szCs w:val="32"/>
        </w:rPr>
        <w:t>以习近平新时代中国特色社会主义思想为指导，全面贯彻党的二十大和二十届二中、三中全会精神，深入落实习近平总书记历次来陕考察、来宝考察重要讲话重要指示，坚持稳中求进工作总基调，完整、准确、全面贯彻新发展理念，以高质量发展为主题，以因地制宜培育发展新质生产力为主线，以进一步全面深化改革和扩大开放为动力，以增进人民福祉和人的全面发展为根本目的，</w:t>
      </w:r>
      <w:r>
        <w:rPr>
          <w:rFonts w:hint="eastAsia" w:ascii="仿宋_GB2312" w:hAnsi="仿宋_GB2312" w:eastAsia="仿宋_GB2312" w:cs="仿宋_GB2312"/>
          <w:sz w:val="32"/>
          <w:szCs w:val="32"/>
        </w:rPr>
        <w:t>着力深化供给侧结构性改革，着力扩大有效需求</w:t>
      </w:r>
      <w:r>
        <w:rPr>
          <w:rFonts w:hint="eastAsia" w:eastAsia="仿宋_GB2312"/>
          <w:color w:val="000000"/>
          <w:sz w:val="32"/>
          <w:szCs w:val="32"/>
        </w:rPr>
        <w:t>，</w:t>
      </w:r>
      <w:r>
        <w:rPr>
          <w:rFonts w:hint="eastAsia" w:ascii="仿宋_GB2312" w:hAnsi="仿宋_GB2312" w:eastAsia="仿宋_GB2312" w:cs="仿宋_GB2312"/>
          <w:sz w:val="32"/>
          <w:szCs w:val="32"/>
        </w:rPr>
        <w:t>着力扬优势、补短板、保安全、强基础</w:t>
      </w:r>
      <w:r>
        <w:rPr>
          <w:rFonts w:hint="eastAsia" w:eastAsia="仿宋_GB2312"/>
          <w:color w:val="000000"/>
          <w:sz w:val="32"/>
          <w:szCs w:val="32"/>
        </w:rPr>
        <w:t>，统筹推进各项工作，立足金台区产业基础、创新资源与区位优势，科学合理制定符合区情的发展目标，在持续塑造区域竞争新优势的同时，更高水平统筹发展和安全，推动经济在质与量上实现双提升，勇当全市高质量发展排头兵，奋力谱写全区高质量发展新篇章。</w:t>
      </w:r>
    </w:p>
    <w:p w14:paraId="40108D45">
      <w:pPr>
        <w:adjustRightInd w:val="0"/>
        <w:snapToGrid w:val="0"/>
        <w:spacing w:line="560" w:lineRule="exact"/>
        <w:ind w:firstLine="640" w:firstLineChars="200"/>
        <w:rPr>
          <w:rFonts w:eastAsia="黑体" w:cs="黑体"/>
          <w:sz w:val="32"/>
          <w:szCs w:val="32"/>
        </w:rPr>
      </w:pPr>
      <w:r>
        <w:rPr>
          <w:rFonts w:hint="eastAsia" w:eastAsia="黑体" w:cs="黑体"/>
          <w:sz w:val="32"/>
          <w:szCs w:val="32"/>
        </w:rPr>
        <w:t>二、基本原则</w:t>
      </w:r>
    </w:p>
    <w:p w14:paraId="5E38DB73">
      <w:pPr>
        <w:adjustRightInd w:val="0"/>
        <w:snapToGrid w:val="0"/>
        <w:spacing w:line="560" w:lineRule="exact"/>
        <w:ind w:firstLine="643" w:firstLineChars="200"/>
        <w:rPr>
          <w:rFonts w:eastAsia="仿宋_GB2312"/>
          <w:color w:val="000000"/>
          <w:sz w:val="32"/>
          <w:szCs w:val="32"/>
        </w:rPr>
      </w:pPr>
      <w:r>
        <w:rPr>
          <w:rFonts w:ascii="Traditional Arabic" w:hAnsi="Traditional Arabic" w:eastAsia="楷体_GB2312" w:cs="Traditional Arabic"/>
          <w:b/>
          <w:color w:val="000000"/>
          <w:sz w:val="32"/>
          <w:szCs w:val="32"/>
        </w:rPr>
        <w:t>——</w:t>
      </w:r>
      <w:r>
        <w:rPr>
          <w:rFonts w:hint="eastAsia" w:ascii="楷体_GB2312" w:hAnsi="方正小标宋简体" w:eastAsia="楷体_GB2312" w:cs="方正小标宋简体"/>
          <w:b/>
          <w:color w:val="000000"/>
          <w:sz w:val="32"/>
          <w:szCs w:val="32"/>
        </w:rPr>
        <w:t>坚持立足实情与放眼全球相结合。</w:t>
      </w:r>
      <w:r>
        <w:rPr>
          <w:rFonts w:hint="eastAsia" w:eastAsia="仿宋_GB2312"/>
          <w:color w:val="000000"/>
          <w:sz w:val="32"/>
          <w:szCs w:val="32"/>
        </w:rPr>
        <w:t>既要拓展全局视野，强化战略思维，深度剖析国内外经济、科技、金融等领域的发展态势与走向，综合研判，提前布局；又要精准把握全区经济社会发展现状和城市建设需求，立足区域特色与优势，明确金台区在宝鸡市乃至更大范围的功能定位。同时，积极学习借鉴发达地区转型发展的成功经验，科学制定经济社会发展的新目标、新思路与新举措，增强规划编制的指导性和前瞻性。</w:t>
      </w:r>
    </w:p>
    <w:p w14:paraId="0C647D90">
      <w:pPr>
        <w:adjustRightInd w:val="0"/>
        <w:snapToGrid w:val="0"/>
        <w:spacing w:line="560" w:lineRule="exact"/>
        <w:ind w:firstLine="643" w:firstLineChars="200"/>
        <w:rPr>
          <w:rFonts w:eastAsia="仿宋_GB2312"/>
          <w:color w:val="000000"/>
          <w:sz w:val="32"/>
          <w:szCs w:val="32"/>
        </w:rPr>
      </w:pPr>
      <w:r>
        <w:rPr>
          <w:rFonts w:ascii="Traditional Arabic" w:hAnsi="Traditional Arabic" w:eastAsia="楷体_GB2312" w:cs="Traditional Arabic"/>
          <w:b/>
          <w:color w:val="000000"/>
          <w:sz w:val="32"/>
          <w:szCs w:val="32"/>
        </w:rPr>
        <w:t>——</w:t>
      </w:r>
      <w:r>
        <w:rPr>
          <w:rFonts w:hint="eastAsia" w:ascii="楷体_GB2312" w:hAnsi="方正小标宋简体" w:eastAsia="楷体_GB2312" w:cs="方正小标宋简体"/>
          <w:b/>
          <w:color w:val="000000"/>
          <w:sz w:val="32"/>
          <w:szCs w:val="32"/>
        </w:rPr>
        <w:t>坚持目标导向与问题导向相结合。</w:t>
      </w:r>
      <w:bookmarkStart w:id="0" w:name="OLE_LINK2"/>
      <w:r>
        <w:rPr>
          <w:rFonts w:hint="eastAsia" w:eastAsia="仿宋_GB2312"/>
          <w:color w:val="000000"/>
          <w:sz w:val="32"/>
          <w:szCs w:val="32"/>
        </w:rPr>
        <w:t>既要紧扣追赶超越的总体定位，细化“十五五”时期必须完成的阶段性目标，又要找准高质量发展和现代化建设进程中的难点、堵点与痛点，深入剖析问题根源，精准制定政策举措，实现目标导向与问题导向的有机结合。</w:t>
      </w:r>
    </w:p>
    <w:bookmarkEnd w:id="0"/>
    <w:p w14:paraId="120C891C">
      <w:pPr>
        <w:adjustRightInd w:val="0"/>
        <w:snapToGrid w:val="0"/>
        <w:spacing w:line="560" w:lineRule="exact"/>
        <w:ind w:firstLine="643" w:firstLineChars="200"/>
        <w:rPr>
          <w:rFonts w:eastAsia="仿宋_GB2312"/>
          <w:color w:val="000000"/>
          <w:sz w:val="32"/>
          <w:szCs w:val="32"/>
        </w:rPr>
      </w:pPr>
      <w:r>
        <w:rPr>
          <w:rFonts w:ascii="Traditional Arabic" w:hAnsi="Traditional Arabic" w:eastAsia="楷体_GB2312" w:cs="Traditional Arabic"/>
          <w:b/>
          <w:color w:val="000000"/>
          <w:sz w:val="32"/>
          <w:szCs w:val="32"/>
        </w:rPr>
        <w:t>——</w:t>
      </w:r>
      <w:r>
        <w:rPr>
          <w:rFonts w:hint="eastAsia" w:ascii="楷体_GB2312" w:hAnsi="方正小标宋简体" w:eastAsia="楷体_GB2312" w:cs="方正小标宋简体"/>
          <w:b/>
          <w:color w:val="000000"/>
          <w:sz w:val="32"/>
          <w:szCs w:val="32"/>
        </w:rPr>
        <w:t>坚持全面谋划与突出重点相结合。</w:t>
      </w:r>
      <w:r>
        <w:rPr>
          <w:rFonts w:hint="eastAsia" w:eastAsia="仿宋_GB2312"/>
          <w:color w:val="000000"/>
          <w:sz w:val="32"/>
          <w:szCs w:val="32"/>
        </w:rPr>
        <w:t>既要全面落实中省市重大决策部署，</w:t>
      </w:r>
      <w:r>
        <w:rPr>
          <w:rFonts w:hint="eastAsia" w:ascii="仿宋_GB2312" w:hAnsi="仿宋_GB2312" w:eastAsia="仿宋_GB2312" w:cs="仿宋_GB2312"/>
          <w:sz w:val="32"/>
          <w:szCs w:val="32"/>
        </w:rPr>
        <w:t>谋划提出事关全局的大思路、大战略，</w:t>
      </w:r>
      <w:r>
        <w:rPr>
          <w:rFonts w:hint="eastAsia" w:eastAsia="仿宋_GB2312"/>
          <w:color w:val="000000"/>
          <w:sz w:val="32"/>
          <w:szCs w:val="32"/>
        </w:rPr>
        <w:t>突出规划的宏观性、引领性，又要突出可操作性、落地性，聚焦基础设施、产业发展、创新驱动、生态环保、社会事业等关键领域，积极谋划重大项目、重大工程，力求规划实施有约束、能检查、易评估。</w:t>
      </w:r>
    </w:p>
    <w:p w14:paraId="7EF19F61">
      <w:pPr>
        <w:adjustRightInd w:val="0"/>
        <w:snapToGrid w:val="0"/>
        <w:spacing w:line="560" w:lineRule="exact"/>
        <w:ind w:firstLine="643" w:firstLineChars="200"/>
        <w:rPr>
          <w:rFonts w:eastAsia="仿宋_GB2312"/>
          <w:color w:val="000000"/>
          <w:sz w:val="32"/>
          <w:szCs w:val="32"/>
        </w:rPr>
      </w:pPr>
      <w:r>
        <w:rPr>
          <w:rFonts w:ascii="Traditional Arabic" w:hAnsi="Traditional Arabic" w:eastAsia="楷体_GB2312" w:cs="Traditional Arabic"/>
          <w:b/>
          <w:color w:val="000000"/>
          <w:sz w:val="32"/>
          <w:szCs w:val="32"/>
        </w:rPr>
        <w:t>——</w:t>
      </w:r>
      <w:r>
        <w:rPr>
          <w:rFonts w:hint="eastAsia" w:ascii="楷体_GB2312" w:hAnsi="方正小标宋简体" w:eastAsia="楷体_GB2312" w:cs="方正小标宋简体"/>
          <w:b/>
          <w:color w:val="000000"/>
          <w:sz w:val="32"/>
          <w:szCs w:val="32"/>
        </w:rPr>
        <w:t>坚持政府主导与社会参与相结合。</w:t>
      </w:r>
      <w:r>
        <w:rPr>
          <w:rFonts w:hint="eastAsia" w:eastAsia="仿宋_GB2312"/>
          <w:color w:val="000000"/>
          <w:sz w:val="32"/>
          <w:szCs w:val="32"/>
        </w:rPr>
        <w:t>既要发挥好政府部门编制规划的主导作用，又要坚持开门编规划，广泛听取和吸纳社会各界的意见建议，增强规划编制的科学性、民主性，提高规划工作的透明度和社会参与度。</w:t>
      </w:r>
    </w:p>
    <w:p w14:paraId="7D8F482A">
      <w:pPr>
        <w:adjustRightInd w:val="0"/>
        <w:snapToGrid w:val="0"/>
        <w:spacing w:line="560" w:lineRule="exact"/>
        <w:ind w:firstLine="643" w:firstLineChars="200"/>
        <w:rPr>
          <w:rFonts w:eastAsia="仿宋_GB2312"/>
          <w:color w:val="000000"/>
          <w:sz w:val="32"/>
          <w:szCs w:val="32"/>
        </w:rPr>
      </w:pPr>
      <w:r>
        <w:rPr>
          <w:rFonts w:ascii="Traditional Arabic" w:hAnsi="Traditional Arabic" w:eastAsia="楷体_GB2312" w:cs="Traditional Arabic"/>
          <w:b/>
          <w:color w:val="000000"/>
          <w:sz w:val="32"/>
          <w:szCs w:val="32"/>
        </w:rPr>
        <w:t>——</w:t>
      </w:r>
      <w:r>
        <w:rPr>
          <w:rFonts w:hint="eastAsia" w:ascii="楷体_GB2312" w:hAnsi="方正小标宋简体" w:eastAsia="楷体_GB2312" w:cs="方正小标宋简体"/>
          <w:b/>
          <w:color w:val="000000"/>
          <w:sz w:val="32"/>
          <w:szCs w:val="32"/>
        </w:rPr>
        <w:t>坚持纵向衔接与横向联动相结合。</w:t>
      </w:r>
      <w:r>
        <w:rPr>
          <w:rFonts w:hint="eastAsia" w:eastAsia="仿宋_GB2312"/>
          <w:color w:val="000000"/>
          <w:sz w:val="32"/>
          <w:szCs w:val="32"/>
        </w:rPr>
        <w:t>既要做好与中省市规划的衔接，力争“十五五”时期更多项目和诉求纳入中省市盘子，又要强化工作协同联动，同步推动规划纲要、专项规划的编制工作，确保各类规划相互衔接、协同发力，为全区经济社会高质量发展夯实基础。</w:t>
      </w:r>
    </w:p>
    <w:p w14:paraId="5A2AB522">
      <w:pPr>
        <w:adjustRightInd w:val="0"/>
        <w:snapToGrid w:val="0"/>
        <w:spacing w:line="560" w:lineRule="exact"/>
        <w:ind w:firstLine="640" w:firstLineChars="200"/>
        <w:rPr>
          <w:rFonts w:eastAsia="黑体" w:cs="黑体"/>
          <w:sz w:val="32"/>
          <w:szCs w:val="32"/>
        </w:rPr>
      </w:pPr>
      <w:r>
        <w:rPr>
          <w:rFonts w:hint="eastAsia" w:eastAsia="黑体" w:cs="黑体"/>
          <w:sz w:val="32"/>
          <w:szCs w:val="32"/>
        </w:rPr>
        <w:t>三、总体安排</w:t>
      </w:r>
    </w:p>
    <w:p w14:paraId="311BA7B2">
      <w:pPr>
        <w:tabs>
          <w:tab w:val="left" w:pos="7655"/>
          <w:tab w:val="left" w:pos="7797"/>
          <w:tab w:val="left" w:pos="8025"/>
        </w:tabs>
        <w:adjustRightInd w:val="0"/>
        <w:snapToGrid w:val="0"/>
        <w:spacing w:line="560" w:lineRule="exact"/>
        <w:ind w:firstLine="643" w:firstLineChars="200"/>
        <w:rPr>
          <w:rFonts w:ascii="楷体_GB2312" w:hAnsi="方正小标宋简体" w:eastAsia="楷体_GB2312" w:cs="方正小标宋简体"/>
          <w:b/>
          <w:color w:val="000000"/>
          <w:sz w:val="32"/>
          <w:szCs w:val="32"/>
        </w:rPr>
      </w:pPr>
      <w:r>
        <w:rPr>
          <w:rFonts w:hint="eastAsia" w:ascii="楷体_GB2312" w:hAnsi="方正小标宋简体" w:eastAsia="楷体_GB2312" w:cs="方正小标宋简体"/>
          <w:b/>
          <w:color w:val="000000"/>
          <w:sz w:val="32"/>
          <w:szCs w:val="32"/>
        </w:rPr>
        <w:t>（一）规划纲要</w:t>
      </w:r>
    </w:p>
    <w:p w14:paraId="35957C85">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宝鸡市金台区国民经济和社会发展第十五个五年规划纲要》（以下简称《纲要》），是全区发展战略在规划期内的阶段性部署和安排，是编制专项规划及制定有关政策和年度计划的重要依据。《纲要》由区发改局具体组织起草编制，具体程序如下：</w:t>
      </w:r>
    </w:p>
    <w:p w14:paraId="41047A46">
      <w:pPr>
        <w:numPr>
          <w:ilvl w:val="255"/>
          <w:numId w:val="0"/>
        </w:numPr>
        <w:adjustRightInd w:val="0"/>
        <w:snapToGrid w:val="0"/>
        <w:spacing w:line="560" w:lineRule="exact"/>
        <w:ind w:firstLine="643" w:firstLineChars="200"/>
        <w:rPr>
          <w:rFonts w:eastAsia="仿宋_GB2312"/>
          <w:color w:val="000000"/>
          <w:sz w:val="32"/>
          <w:szCs w:val="32"/>
        </w:rPr>
      </w:pPr>
      <w:r>
        <w:rPr>
          <w:rFonts w:hint="eastAsia" w:eastAsia="仿宋_GB2312"/>
          <w:b/>
          <w:bCs/>
          <w:sz w:val="32"/>
          <w:szCs w:val="32"/>
        </w:rPr>
        <w:t>1.编制准备阶段</w:t>
      </w:r>
      <w:r>
        <w:rPr>
          <w:rFonts w:hint="eastAsia" w:eastAsia="仿宋_GB2312"/>
          <w:color w:val="000000"/>
          <w:sz w:val="32"/>
          <w:szCs w:val="32"/>
        </w:rPr>
        <w:t>（2024年4月-2025年4月）。谋划全区各领域“十五五”时期重大工程项目、重大战略任务、重大改革举措，围绕重点领域深入开展课题研究，提出全区“十五五”规划基本思路。制定“十五五”规划编制工作方案，成立“十五五”规划编制工作领导小组</w:t>
      </w:r>
      <w:bookmarkStart w:id="1" w:name="OLE_LINK7"/>
      <w:r>
        <w:rPr>
          <w:rFonts w:hint="eastAsia" w:eastAsia="仿宋_GB2312"/>
          <w:color w:val="000000"/>
          <w:sz w:val="32"/>
          <w:szCs w:val="32"/>
        </w:rPr>
        <w:t>，召开专题会议安排部署规划编制工作</w:t>
      </w:r>
      <w:bookmarkEnd w:id="1"/>
      <w:r>
        <w:rPr>
          <w:rFonts w:hint="eastAsia" w:eastAsia="仿宋_GB2312"/>
          <w:color w:val="000000"/>
          <w:sz w:val="32"/>
          <w:szCs w:val="32"/>
        </w:rPr>
        <w:t>。</w:t>
      </w:r>
    </w:p>
    <w:p w14:paraId="64E10E81">
      <w:pPr>
        <w:adjustRightInd w:val="0"/>
        <w:snapToGrid w:val="0"/>
        <w:spacing w:line="560" w:lineRule="exact"/>
        <w:ind w:firstLine="643" w:firstLineChars="200"/>
        <w:rPr>
          <w:rFonts w:eastAsia="仿宋_GB2312"/>
          <w:color w:val="000000"/>
          <w:sz w:val="32"/>
          <w:szCs w:val="32"/>
        </w:rPr>
      </w:pPr>
      <w:r>
        <w:rPr>
          <w:rFonts w:hint="eastAsia" w:eastAsia="仿宋_GB2312"/>
          <w:b/>
          <w:bCs/>
          <w:sz w:val="32"/>
          <w:szCs w:val="32"/>
        </w:rPr>
        <w:t>2.编制阶段</w:t>
      </w:r>
      <w:r>
        <w:rPr>
          <w:rFonts w:hint="eastAsia" w:eastAsia="仿宋_GB2312"/>
          <w:color w:val="000000"/>
          <w:sz w:val="32"/>
          <w:szCs w:val="32"/>
        </w:rPr>
        <w:t>（2025年5月-2025年12月）。组建《纲要》起草工作专班，结合各部门提出的“十五五”重要指标、重点任务、重大项目、重大政策、重大改革措施等，起草《纲要》，形成《纲要（草案）》。同时，认真听取各镇街、区级各部门、人大代表、政协委员等意见建议，做好与省市《纲要》的衔接，经区“十五五”规划专家咨询委员会评审后，按程序报区委、区政府研究审定，提请区人民代表大会审议讨论。</w:t>
      </w:r>
    </w:p>
    <w:p w14:paraId="4503A927">
      <w:pPr>
        <w:adjustRightInd w:val="0"/>
        <w:snapToGrid w:val="0"/>
        <w:spacing w:line="560" w:lineRule="exact"/>
        <w:ind w:firstLine="643" w:firstLineChars="200"/>
        <w:rPr>
          <w:rFonts w:ascii="楷体_GB2312" w:hAnsi="方正小标宋简体" w:eastAsia="楷体_GB2312" w:cs="方正小标宋简体"/>
          <w:b/>
          <w:color w:val="000000"/>
          <w:sz w:val="32"/>
          <w:szCs w:val="32"/>
        </w:rPr>
      </w:pPr>
      <w:r>
        <w:rPr>
          <w:rFonts w:hint="eastAsia" w:eastAsia="仿宋_GB2312"/>
          <w:b/>
          <w:bCs/>
          <w:sz w:val="32"/>
          <w:szCs w:val="32"/>
        </w:rPr>
        <w:t>3.审批印发阶段</w:t>
      </w:r>
      <w:r>
        <w:rPr>
          <w:rFonts w:hint="eastAsia" w:eastAsia="仿宋_GB2312"/>
          <w:color w:val="000000"/>
          <w:sz w:val="32"/>
          <w:szCs w:val="32"/>
        </w:rPr>
        <w:t>（2026年1月-2026年3月）。《纲要》经区人民代表大会审议通过后，作进一步修改完善，以区政府文件印发实施。</w:t>
      </w:r>
    </w:p>
    <w:p w14:paraId="0A9046F1">
      <w:pPr>
        <w:tabs>
          <w:tab w:val="left" w:pos="7655"/>
          <w:tab w:val="left" w:pos="7797"/>
          <w:tab w:val="left" w:pos="8025"/>
        </w:tabs>
        <w:adjustRightInd w:val="0"/>
        <w:snapToGrid w:val="0"/>
        <w:spacing w:line="560" w:lineRule="exact"/>
        <w:ind w:firstLine="643" w:firstLineChars="200"/>
        <w:rPr>
          <w:rFonts w:ascii="楷体_GB2312" w:hAnsi="方正小标宋简体" w:eastAsia="楷体_GB2312" w:cs="方正小标宋简体"/>
          <w:b/>
          <w:color w:val="000000"/>
          <w:sz w:val="32"/>
          <w:szCs w:val="32"/>
        </w:rPr>
      </w:pPr>
      <w:r>
        <w:rPr>
          <w:rFonts w:hint="eastAsia" w:ascii="楷体_GB2312" w:hAnsi="方正小标宋简体" w:eastAsia="楷体_GB2312" w:cs="方正小标宋简体"/>
          <w:b/>
          <w:color w:val="000000"/>
          <w:sz w:val="32"/>
          <w:szCs w:val="32"/>
        </w:rPr>
        <w:t>（二）专项规划</w:t>
      </w:r>
    </w:p>
    <w:p w14:paraId="042465A7">
      <w:pPr>
        <w:adjustRightInd w:val="0"/>
        <w:snapToGrid w:val="0"/>
        <w:spacing w:line="560" w:lineRule="exact"/>
        <w:ind w:firstLine="640" w:firstLineChars="200"/>
        <w:rPr>
          <w:rFonts w:eastAsia="仿宋_GB2312"/>
          <w:color w:val="000000"/>
          <w:sz w:val="32"/>
          <w:szCs w:val="32"/>
        </w:rPr>
      </w:pPr>
      <w:r>
        <w:rPr>
          <w:rFonts w:hint="eastAsia" w:eastAsia="仿宋_GB2312"/>
          <w:sz w:val="32"/>
          <w:szCs w:val="32"/>
        </w:rPr>
        <w:t>专项规划是指以国民经济和社会发展的特定领域为对象编制的规划，是指导该领域发展改革以及审批、备案重大项目和安排政府投资、引导社会资本投向的重要依据。专项规划是“十五五”规划体系的重要组成部分，由区级有关部门、单位组织编制（专项规划清单具体见附件1），须与</w:t>
      </w:r>
      <w:r>
        <w:rPr>
          <w:rFonts w:hint="eastAsia" w:eastAsia="仿宋_GB2312"/>
          <w:color w:val="000000"/>
          <w:sz w:val="32"/>
          <w:szCs w:val="32"/>
        </w:rPr>
        <w:t>上级相关专项规划、全区《纲要》、全区国土空间规划进行充分衔接</w:t>
      </w:r>
      <w:r>
        <w:rPr>
          <w:rFonts w:hint="eastAsia" w:ascii="仿宋_GB2312" w:hAnsi="仿宋_GB2312" w:eastAsia="仿宋_GB2312" w:cs="仿宋_GB2312"/>
          <w:color w:val="000000"/>
          <w:sz w:val="32"/>
          <w:szCs w:val="32"/>
        </w:rPr>
        <w:t>。清单内政府部门编制的专项规划报请区政府批准，其中重点专项规划以区政府或区政府办公室名义印发实施；一般专项规划冠“经区政府同意”字样，由编制部门会同区发改局联合印发实施。具体程序如下：</w:t>
      </w:r>
    </w:p>
    <w:p w14:paraId="55279408">
      <w:pPr>
        <w:adjustRightInd w:val="0"/>
        <w:snapToGrid w:val="0"/>
        <w:spacing w:line="560" w:lineRule="exact"/>
        <w:ind w:firstLine="643" w:firstLineChars="200"/>
        <w:rPr>
          <w:rFonts w:eastAsia="仿宋_GB2312"/>
          <w:color w:val="000000"/>
          <w:sz w:val="32"/>
          <w:szCs w:val="32"/>
        </w:rPr>
      </w:pPr>
      <w:r>
        <w:rPr>
          <w:rFonts w:eastAsia="仿宋_GB2312"/>
          <w:b/>
          <w:bCs/>
          <w:sz w:val="32"/>
          <w:szCs w:val="32"/>
        </w:rPr>
        <w:t>1</w:t>
      </w:r>
      <w:r>
        <w:rPr>
          <w:rFonts w:hint="eastAsia" w:eastAsia="仿宋_GB2312"/>
          <w:b/>
          <w:bCs/>
          <w:sz w:val="32"/>
          <w:szCs w:val="32"/>
        </w:rPr>
        <w:t>.</w:t>
      </w:r>
      <w:bookmarkStart w:id="2" w:name="OLE_LINK3"/>
      <w:r>
        <w:rPr>
          <w:rFonts w:hint="eastAsia" w:eastAsia="仿宋_GB2312"/>
          <w:b/>
          <w:bCs/>
          <w:sz w:val="32"/>
          <w:szCs w:val="32"/>
        </w:rPr>
        <w:t>研究阶段</w:t>
      </w:r>
      <w:r>
        <w:rPr>
          <w:rFonts w:hint="eastAsia" w:eastAsia="仿宋_GB2312"/>
          <w:color w:val="000000"/>
          <w:sz w:val="32"/>
          <w:szCs w:val="32"/>
        </w:rPr>
        <w:t>（2025年3月-2025年5月），区级各有关部门、单位根据本方案，开展规划编制前期研究工作，理清基本思路。</w:t>
      </w:r>
    </w:p>
    <w:p w14:paraId="5D662CC9">
      <w:pPr>
        <w:adjustRightInd w:val="0"/>
        <w:snapToGrid w:val="0"/>
        <w:spacing w:line="560" w:lineRule="exact"/>
        <w:ind w:firstLine="643" w:firstLineChars="200"/>
        <w:rPr>
          <w:color w:val="000000"/>
          <w:szCs w:val="32"/>
        </w:rPr>
      </w:pPr>
      <w:r>
        <w:rPr>
          <w:rFonts w:hint="eastAsia" w:eastAsia="仿宋_GB2312"/>
          <w:b/>
          <w:bCs/>
          <w:sz w:val="32"/>
          <w:szCs w:val="32"/>
        </w:rPr>
        <w:t>2.编制阶段</w:t>
      </w:r>
      <w:r>
        <w:rPr>
          <w:rFonts w:hint="eastAsia" w:eastAsia="仿宋_GB2312"/>
          <w:color w:val="000000"/>
          <w:sz w:val="32"/>
          <w:szCs w:val="32"/>
        </w:rPr>
        <w:t>（2025年6月-2025年12月），区级各有关部门、单位编制完成专项规划（草案）。</w:t>
      </w:r>
    </w:p>
    <w:p w14:paraId="56DA3FBE">
      <w:pPr>
        <w:numPr>
          <w:ilvl w:val="255"/>
          <w:numId w:val="0"/>
        </w:numPr>
        <w:adjustRightInd w:val="0"/>
        <w:snapToGrid w:val="0"/>
        <w:spacing w:line="560" w:lineRule="exact"/>
        <w:ind w:firstLine="643" w:firstLineChars="200"/>
        <w:rPr>
          <w:rFonts w:eastAsia="仿宋_GB2312"/>
          <w:color w:val="000000"/>
          <w:sz w:val="32"/>
          <w:szCs w:val="32"/>
        </w:rPr>
      </w:pPr>
      <w:r>
        <w:rPr>
          <w:rFonts w:hint="eastAsia" w:eastAsia="仿宋_GB2312"/>
          <w:b/>
          <w:bCs/>
          <w:sz w:val="32"/>
          <w:szCs w:val="32"/>
        </w:rPr>
        <w:t>3.衔接印发阶段</w:t>
      </w:r>
      <w:r>
        <w:rPr>
          <w:rFonts w:hint="eastAsia" w:eastAsia="仿宋_GB2312"/>
          <w:color w:val="000000"/>
          <w:sz w:val="32"/>
          <w:szCs w:val="32"/>
        </w:rPr>
        <w:t>（2026年1月-2026年9月），完成专家论证、征求意见等工作，与上级相关专项规划、全区国土空间规划、全区《纲要》进行衔接，按程序报批。</w:t>
      </w:r>
      <w:r>
        <w:rPr>
          <w:rFonts w:hint="eastAsia" w:ascii="仿宋_GB2312" w:hAnsi="仿宋_GB2312" w:eastAsia="仿宋_GB2312" w:cs="仿宋_GB2312"/>
          <w:color w:val="000000"/>
          <w:sz w:val="32"/>
          <w:szCs w:val="32"/>
        </w:rPr>
        <w:t>衔接、报送专项规划（草案）时，需附上评审论证报告、征求意见情况和区级分管领导审定意见。</w:t>
      </w:r>
      <w:r>
        <w:rPr>
          <w:rFonts w:hint="eastAsia" w:eastAsia="仿宋_GB2312"/>
          <w:color w:val="000000"/>
          <w:sz w:val="32"/>
          <w:szCs w:val="32"/>
        </w:rPr>
        <w:t>重点专项规划原则上</w:t>
      </w:r>
      <w:r>
        <w:rPr>
          <w:rFonts w:eastAsia="仿宋_GB2312"/>
          <w:color w:val="000000"/>
          <w:sz w:val="32"/>
          <w:szCs w:val="32"/>
        </w:rPr>
        <w:t>2026</w:t>
      </w:r>
      <w:r>
        <w:rPr>
          <w:rFonts w:hint="eastAsia" w:eastAsia="仿宋_GB2312"/>
          <w:color w:val="000000"/>
          <w:sz w:val="32"/>
          <w:szCs w:val="32"/>
        </w:rPr>
        <w:t>年</w:t>
      </w:r>
      <w:r>
        <w:rPr>
          <w:rFonts w:eastAsia="仿宋_GB2312"/>
          <w:color w:val="000000"/>
          <w:sz w:val="32"/>
          <w:szCs w:val="32"/>
        </w:rPr>
        <w:t>9</w:t>
      </w:r>
      <w:r>
        <w:rPr>
          <w:rFonts w:hint="eastAsia" w:eastAsia="仿宋_GB2312"/>
          <w:color w:val="000000"/>
          <w:sz w:val="32"/>
          <w:szCs w:val="32"/>
        </w:rPr>
        <w:t>月底前全部印发实施，一般专项规划以及经区发改局备案后编制的专项规划，原则上</w:t>
      </w:r>
      <w:r>
        <w:rPr>
          <w:rFonts w:eastAsia="仿宋_GB2312"/>
          <w:color w:val="000000"/>
          <w:sz w:val="32"/>
          <w:szCs w:val="32"/>
        </w:rPr>
        <w:t>2026</w:t>
      </w:r>
      <w:r>
        <w:rPr>
          <w:rFonts w:hint="eastAsia" w:eastAsia="仿宋_GB2312"/>
          <w:color w:val="000000"/>
          <w:sz w:val="32"/>
          <w:szCs w:val="32"/>
        </w:rPr>
        <w:t>年</w:t>
      </w:r>
      <w:r>
        <w:rPr>
          <w:rFonts w:eastAsia="仿宋_GB2312"/>
          <w:color w:val="000000"/>
          <w:sz w:val="32"/>
          <w:szCs w:val="32"/>
        </w:rPr>
        <w:t>6</w:t>
      </w:r>
      <w:r>
        <w:rPr>
          <w:rFonts w:hint="eastAsia" w:eastAsia="仿宋_GB2312"/>
          <w:color w:val="000000"/>
          <w:sz w:val="32"/>
          <w:szCs w:val="32"/>
        </w:rPr>
        <w:t>月底前全部印发实施。</w:t>
      </w:r>
    </w:p>
    <w:bookmarkEnd w:id="2"/>
    <w:p w14:paraId="18E4396B">
      <w:pPr>
        <w:widowControl/>
        <w:spacing w:line="560" w:lineRule="exact"/>
        <w:ind w:firstLine="640" w:firstLineChars="200"/>
        <w:jc w:val="left"/>
        <w:rPr>
          <w:rFonts w:eastAsia="黑体"/>
          <w:sz w:val="32"/>
          <w:szCs w:val="32"/>
        </w:rPr>
      </w:pPr>
      <w:r>
        <w:rPr>
          <w:rFonts w:hint="eastAsia" w:eastAsia="黑体"/>
          <w:sz w:val="32"/>
          <w:szCs w:val="32"/>
        </w:rPr>
        <w:t>四、工作要求</w:t>
      </w:r>
    </w:p>
    <w:p w14:paraId="5F05A6F5">
      <w:pPr>
        <w:widowControl/>
        <w:spacing w:line="560" w:lineRule="exact"/>
        <w:ind w:firstLine="643" w:firstLineChars="200"/>
        <w:jc w:val="left"/>
        <w:rPr>
          <w:rFonts w:eastAsia="仿宋_GB2312"/>
          <w:color w:val="000000"/>
          <w:sz w:val="32"/>
          <w:szCs w:val="32"/>
        </w:rPr>
      </w:pPr>
      <w:r>
        <w:rPr>
          <w:rFonts w:hint="eastAsia" w:ascii="楷体_GB2312" w:hAnsi="方正小标宋简体" w:eastAsia="楷体_GB2312" w:cs="方正小标宋简体"/>
          <w:b/>
          <w:color w:val="000000"/>
          <w:sz w:val="32"/>
          <w:szCs w:val="32"/>
        </w:rPr>
        <w:t>（一）加强组织领导。</w:t>
      </w:r>
      <w:r>
        <w:rPr>
          <w:rFonts w:hint="eastAsia" w:eastAsia="仿宋_GB2312"/>
          <w:sz w:val="32"/>
          <w:szCs w:val="32"/>
        </w:rPr>
        <w:t>成立由区委书记任顾问</w:t>
      </w:r>
      <w:r>
        <w:rPr>
          <w:rFonts w:hint="eastAsia" w:eastAsia="仿宋_GB2312"/>
          <w:color w:val="000000"/>
          <w:sz w:val="32"/>
          <w:szCs w:val="32"/>
        </w:rPr>
        <w:t>，区长任组长，各副区长任副组长，区政府办公室主任以及各相关部门、单位主要负责同志为成员的全区“十五五”规划编制工作领导小组（成员名单具体见附件2）。办公室设在区发改局，负责总体指导与综合协调工作。各部门要高度重视、精心组织，主要领导要亲自研究部署，及时协调解决工作中遇到的问题。同时要选配政治素质强、专业水平高的业务骨干组建规划编制工作专班，确保编制工作的专业性和高效性。各相关部门要按照中省市关于过紧日子的要求，合理统筹各类资金，保障资金落实到位，确保规划编制工作有力有序推进。</w:t>
      </w:r>
    </w:p>
    <w:p w14:paraId="5BAB673D">
      <w:pPr>
        <w:adjustRightInd w:val="0"/>
        <w:snapToGrid w:val="0"/>
        <w:spacing w:line="560" w:lineRule="exact"/>
        <w:ind w:firstLine="643" w:firstLineChars="200"/>
        <w:rPr>
          <w:rFonts w:eastAsia="仿宋_GB2312"/>
          <w:color w:val="000000"/>
          <w:sz w:val="32"/>
          <w:szCs w:val="32"/>
        </w:rPr>
      </w:pPr>
      <w:r>
        <w:rPr>
          <w:rFonts w:hint="eastAsia" w:ascii="楷体_GB2312" w:hAnsi="方正小标宋简体" w:eastAsia="楷体_GB2312" w:cs="方正小标宋简体"/>
          <w:b/>
          <w:color w:val="000000"/>
          <w:sz w:val="32"/>
          <w:szCs w:val="32"/>
        </w:rPr>
        <w:t>（二）</w:t>
      </w:r>
      <w:r>
        <w:rPr>
          <w:rFonts w:hint="eastAsia" w:ascii="楷体_GB2312" w:hAnsi="方正小标宋简体" w:eastAsia="楷体_GB2312" w:cs="方正小标宋简体"/>
          <w:b/>
          <w:color w:val="000000"/>
          <w:sz w:val="32"/>
          <w:szCs w:val="32"/>
          <w:lang w:eastAsia="zh-CN"/>
        </w:rPr>
        <w:t>深入调查研究</w:t>
      </w:r>
      <w:r>
        <w:rPr>
          <w:rFonts w:hint="eastAsia" w:ascii="楷体_GB2312" w:hAnsi="方正小标宋简体" w:eastAsia="楷体_GB2312" w:cs="方正小标宋简体"/>
          <w:b/>
          <w:color w:val="000000"/>
          <w:sz w:val="32"/>
          <w:szCs w:val="32"/>
        </w:rPr>
        <w:t>。</w:t>
      </w:r>
      <w:r>
        <w:rPr>
          <w:rFonts w:hint="eastAsia" w:eastAsia="仿宋_GB2312"/>
          <w:color w:val="000000"/>
          <w:sz w:val="32"/>
          <w:szCs w:val="32"/>
        </w:rPr>
        <w:t>要认真总结评估“十四五”规划执行情况，分析研判形势，精准掌握规划落实进度与成效。同时，加强对本行业领域在“十五五”时期重大问题的研究，全面梳理制约行业发展的瓶颈因素，理清机遇与挑战，提出“十五五”时期发展目标、工作思路、重点任务，在规划研究过程注重与其他县区的横向对比，明确优势，补齐短板。</w:t>
      </w:r>
    </w:p>
    <w:p w14:paraId="429E76C4">
      <w:pPr>
        <w:adjustRightInd w:val="0"/>
        <w:snapToGrid w:val="0"/>
        <w:spacing w:line="560" w:lineRule="exact"/>
        <w:ind w:firstLine="643" w:firstLineChars="200"/>
        <w:rPr>
          <w:rFonts w:eastAsia="仿宋_GB2312"/>
          <w:color w:val="000000"/>
          <w:sz w:val="32"/>
          <w:szCs w:val="32"/>
        </w:rPr>
      </w:pPr>
      <w:r>
        <w:rPr>
          <w:rFonts w:hint="eastAsia" w:ascii="楷体_GB2312" w:hAnsi="方正小标宋简体" w:eastAsia="楷体_GB2312" w:cs="方正小标宋简体"/>
          <w:b/>
          <w:color w:val="000000"/>
          <w:sz w:val="32"/>
          <w:szCs w:val="32"/>
        </w:rPr>
        <w:t>（三）注重项目支撑。</w:t>
      </w:r>
      <w:r>
        <w:rPr>
          <w:rFonts w:hint="eastAsia" w:eastAsia="仿宋_GB2312"/>
          <w:sz w:val="32"/>
          <w:szCs w:val="32"/>
        </w:rPr>
        <w:t>要切实抓好重大项目工程的谋划争取工作，围绕固根基、增动能、促转型、补短板，推出一批具有战略性、引领性的重大工程和项目，争取上级支持。同时，要强化重点项目与国土空间规划的有机衔接，主动征求自然资源部门的意见建议，确保项目落地落实。</w:t>
      </w:r>
    </w:p>
    <w:p w14:paraId="09048784">
      <w:pPr>
        <w:widowControl/>
        <w:spacing w:line="560" w:lineRule="exact"/>
        <w:ind w:firstLine="643" w:firstLineChars="200"/>
        <w:jc w:val="left"/>
        <w:rPr>
          <w:rFonts w:eastAsia="仿宋_GB2312"/>
          <w:color w:val="000000"/>
          <w:sz w:val="32"/>
          <w:szCs w:val="32"/>
        </w:rPr>
      </w:pPr>
      <w:r>
        <w:rPr>
          <w:rFonts w:hint="eastAsia" w:ascii="楷体_GB2312" w:hAnsi="方正小标宋简体" w:eastAsia="楷体_GB2312" w:cs="方正小标宋简体"/>
          <w:b/>
          <w:color w:val="000000"/>
          <w:sz w:val="32"/>
          <w:szCs w:val="32"/>
        </w:rPr>
        <w:t>（四）创新编制方式。</w:t>
      </w:r>
      <w:r>
        <w:rPr>
          <w:rFonts w:hint="eastAsia" w:eastAsia="仿宋_GB2312"/>
          <w:color w:val="000000"/>
          <w:sz w:val="32"/>
          <w:szCs w:val="32"/>
        </w:rPr>
        <w:t>要坚持开门问策，汇聚各方智慧。一方面是健全专家参与公共决策制度，充分发挥规划专家委员会、科研院所、大专院校、行业协会等智库作用，积极探索运用人工智能、大数据、云计算等现代信息技术，提升规划编制的精准性与高效性。另一方面要扩大公众参与度，开辟意见征集窗口，确保规划反映民意。在规划表达方式上注重创新，做到图文并茂、简洁新颖。</w:t>
      </w:r>
    </w:p>
    <w:p w14:paraId="04D33171">
      <w:pPr>
        <w:adjustRightInd w:val="0"/>
        <w:snapToGrid w:val="0"/>
        <w:spacing w:line="560" w:lineRule="exact"/>
        <w:ind w:firstLine="643" w:firstLineChars="200"/>
        <w:rPr>
          <w:rFonts w:eastAsia="仿宋_GB2312"/>
          <w:color w:val="000000"/>
          <w:sz w:val="32"/>
          <w:szCs w:val="32"/>
        </w:rPr>
      </w:pPr>
      <w:r>
        <w:rPr>
          <w:rFonts w:hint="eastAsia" w:ascii="楷体_GB2312" w:hAnsi="方正小标宋简体" w:eastAsia="楷体_GB2312" w:cs="方正小标宋简体"/>
          <w:b/>
          <w:color w:val="000000"/>
          <w:sz w:val="32"/>
          <w:szCs w:val="32"/>
        </w:rPr>
        <w:t>（五）加强协调联动。</w:t>
      </w:r>
      <w:r>
        <w:rPr>
          <w:rFonts w:hint="eastAsia" w:eastAsia="仿宋_GB2312"/>
          <w:color w:val="000000"/>
          <w:sz w:val="32"/>
          <w:szCs w:val="32"/>
        </w:rPr>
        <w:t>要遵循下级规划服从上级规划、同级规划相互协调的原则，协调衔接好各类规划。规划纲要应发挥战略导向统领作用；空间规划要为规划纲要确定的战略任务落地提供空间保障，对专项规划空间利用起指导约束作用；专项规划要</w:t>
      </w:r>
    </w:p>
    <w:p w14:paraId="581F8002">
      <w:pPr>
        <w:adjustRightInd w:val="0"/>
        <w:snapToGrid w:val="0"/>
        <w:spacing w:line="560" w:lineRule="exact"/>
        <w:rPr>
          <w:rFonts w:eastAsia="仿宋_GB2312"/>
          <w:color w:val="000000"/>
          <w:sz w:val="32"/>
          <w:szCs w:val="32"/>
        </w:rPr>
      </w:pPr>
      <w:r>
        <w:rPr>
          <w:rFonts w:hint="eastAsia" w:eastAsia="仿宋_GB2312"/>
          <w:color w:val="000000"/>
          <w:sz w:val="32"/>
          <w:szCs w:val="32"/>
        </w:rPr>
        <w:t>细化落实规划纲要确定的任务目标，与规划纲要同步推进，确保形成功能清晰、衔接协调的规划体系，做到多规合一。编制部门要将衔接报告作为规划报审要件。</w:t>
      </w:r>
    </w:p>
    <w:p w14:paraId="38A44837">
      <w:pPr>
        <w:adjustRightInd w:val="0"/>
        <w:snapToGrid w:val="0"/>
        <w:spacing w:line="560" w:lineRule="exact"/>
        <w:ind w:firstLine="643" w:firstLineChars="200"/>
        <w:rPr>
          <w:rFonts w:eastAsia="仿宋_GB2312"/>
          <w:color w:val="000000"/>
          <w:sz w:val="32"/>
          <w:szCs w:val="32"/>
        </w:rPr>
      </w:pPr>
      <w:r>
        <w:rPr>
          <w:rFonts w:hint="eastAsia" w:ascii="楷体_GB2312" w:hAnsi="方正小标宋简体" w:eastAsia="楷体_GB2312" w:cs="方正小标宋简体"/>
          <w:b/>
          <w:color w:val="000000"/>
          <w:sz w:val="32"/>
          <w:szCs w:val="32"/>
        </w:rPr>
        <w:t>（六）严格编制程序。</w:t>
      </w:r>
      <w:r>
        <w:rPr>
          <w:rFonts w:hint="eastAsia" w:eastAsia="仿宋_GB2312"/>
          <w:color w:val="000000"/>
          <w:sz w:val="32"/>
          <w:szCs w:val="32"/>
        </w:rPr>
        <w:t>各部门（单位）在组织规划编制过程中，要精心制定规划编制工作方案。对标“时间表”与“路线图”，严格按照既定时间节点和工作流程推进前期研究、文本起草、征求意见、衔接协调、规划论证、审批发布等各个环节工作。各部门（单位）要强化协同意识，树立全局观念，真正形成规划编制“一盘棋”，齐心协力完成“十五五”规划各项工作。</w:t>
      </w:r>
    </w:p>
    <w:p w14:paraId="40231092">
      <w:pPr>
        <w:adjustRightInd w:val="0"/>
        <w:snapToGrid w:val="0"/>
        <w:spacing w:line="560" w:lineRule="exact"/>
        <w:ind w:firstLine="640" w:firstLineChars="200"/>
        <w:rPr>
          <w:rFonts w:eastAsia="仿宋_GB2312"/>
          <w:color w:val="000000"/>
          <w:sz w:val="32"/>
          <w:szCs w:val="32"/>
        </w:rPr>
      </w:pPr>
    </w:p>
    <w:p w14:paraId="75A3E5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roman"/>
    <w:pitch w:val="default"/>
    <w:sig w:usb0="00006003" w:usb1="80000000" w:usb2="00000008" w:usb3="00000000" w:csb0="00000041" w:csb1="200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54B5B"/>
    <w:rsid w:val="3BC5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2025-05-30T08:57:00Z</dcterms:created>
  <dc:creator>小幸福！</dc:creator>
  <cp:lastModifiedBy>小幸福！</cp:lastModifiedBy>
  <dcterms:modified xsi:type="dcterms:W3CDTF">2025-05-30T08:57:52Z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6B6DF5D246BC429A9182488A076E9A06_11</vt:lpwstr>
  </property>
  <property fmtid="{D5CDD505-2E9C-101B-9397-08002B2CF9AE}" pid="4" name="KSOTemplateDocerSaveRecord">
    <vt:lpwstr>eyJoZGlkIjoiMDhhMDdiYjU5Nzk0ZDQwYjc1MDQxODZjOWQzYjVkNTEiLCJ1c2VySWQiOiI5NDEyNDU2MjkifQ==</vt:lpwstr>
  </property>
</Properties>
</file>