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8E73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宝鸡市金台区县域商业体系建设行动项目资金管理办法</w:t>
      </w:r>
    </w:p>
    <w:p w14:paraId="7971D18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59D0FE9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第一章 总则</w:t>
      </w:r>
    </w:p>
    <w:p w14:paraId="12EB5EC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为加快推进县域商业体系建设，规范专项资金使用和管理，提高资金使用效益，发挥财政资金引导带动作用，根据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陕西省财政厅陕西省商务厅陕西省乡村振兴局关于印发〈陕西省县域商业建设行动专项资金管理暂行办法〉的通知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陕财办建〔2023〕12号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等精神，结合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实际，制定本办法。</w:t>
      </w:r>
    </w:p>
    <w:p w14:paraId="0CF8CB7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本办法中的县域商业建设行动专项资金（以下简称专项资金），指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级财政划拨我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县域商业建设项目的中央专项补助资金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1157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万元。</w:t>
      </w:r>
    </w:p>
    <w:p w14:paraId="19D5BBF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第二章 资金支持方向和补助标准</w:t>
      </w:r>
    </w:p>
    <w:p w14:paraId="08177A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专项资金重点支持方向：</w:t>
      </w:r>
    </w:p>
    <w:p w14:paraId="4D3160B6">
      <w:pPr>
        <w:keepNext w:val="0"/>
        <w:keepLines w:val="0"/>
        <w:pageBreakBefore w:val="0"/>
        <w:kinsoku/>
        <w:wordWrap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lang w:val="en-US" w:eastAsia="zh-CN"/>
        </w:rPr>
        <w:t>（一）支持补齐县域商业基础设施短板。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以人口相对聚集的乡镇为重点，支持升级改造一批商贸中心、大中型超市、集贸市场等，完善冷藏、陈列、打包、结算、食品加工等设施设备。鼓励连锁商贸流通企业、电子商务平台等下沉农村，加强数字赋能，发展连锁经营和电子商务，拓展消费新业态新场景，打造乡镇商业集聚区。</w:t>
      </w:r>
    </w:p>
    <w:p w14:paraId="700B1A2B">
      <w:pPr>
        <w:keepNext w:val="0"/>
        <w:keepLines w:val="0"/>
        <w:pageBreakBefore w:val="0"/>
        <w:kinsoku/>
        <w:wordWrap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lang w:val="en-US" w:eastAsia="zh-CN"/>
        </w:rPr>
        <w:t>（二）支持完善县乡村三级物流配送体系。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lang w:val="en-US" w:eastAsia="zh-CN"/>
        </w:rPr>
        <w:t>发挥城区和乡镇物流枢纽作用，支持建设改造区级物流配送中心和乡镇快递物流站点，完善仓储、分拣、包装、装卸、运输、配送等设施，增强对乡村的辐射能力。整合县域邮政、供销、快递、商贸等物流资源，发挥连锁商贸流通企业自建物流优势，开展日用消费品、农资下乡和农产品进城等物流快递共同配送服务，降低物流成本。</w:t>
      </w:r>
    </w:p>
    <w:p w14:paraId="37FE8E4A">
      <w:pPr>
        <w:keepNext w:val="0"/>
        <w:keepLines w:val="0"/>
        <w:pageBreakBefore w:val="0"/>
        <w:kinsoku/>
        <w:wordWrap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lang w:val="en-US" w:eastAsia="zh-CN"/>
        </w:rPr>
        <w:t>（三）支持改善优化县域消费渠道。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引导大型流通企业下沉供应链，布局一批县域前置仓、物流仓储等设施，提供直供直销、集中采购、统一配送、库存管理等服务，让农民直购好产品、新产品。鼓励本地商贸流通企业组建联合采购平台，加大农村地区商品投放力度。发展购物、餐饮、亲子、娱乐、农资等多种业态，承接市民下乡和农民进城消费。</w:t>
      </w:r>
    </w:p>
    <w:p w14:paraId="4F222FF9">
      <w:pPr>
        <w:keepNext w:val="0"/>
        <w:keepLines w:val="0"/>
        <w:pageBreakBefore w:val="0"/>
        <w:kinsoku/>
        <w:wordWrap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lang w:val="en-US" w:eastAsia="zh-CN"/>
        </w:rPr>
        <w:t>（四）增强农村产品上行动能。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引导商贸、电商、快递、物流企业围绕农村产品上行，建设分拣、预冷、初加工、配送等商品化处理设施，加强标准和品牌应用，提高农村产品商品转化率。整合现有县乡村电子商务服务网点，统筹产品开发、设计、营销、品牌等服务，拓宽农村产品上行渠道，提高农村电子商务应用水平。</w:t>
      </w:r>
    </w:p>
    <w:p w14:paraId="3174A544">
      <w:pPr>
        <w:keepNext w:val="0"/>
        <w:keepLines w:val="0"/>
        <w:pageBreakBefore w:val="0"/>
        <w:kinsoku/>
        <w:wordWrap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lang w:val="en-US" w:eastAsia="zh-CN"/>
        </w:rPr>
        <w:t>（五）提高生活服务供给质量。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引导农村邮政、供销、电商、商贸流通企业从传统批发、零售向综合性服务转变，整合购物、订餐、家政、职介、租赁、同城配送等服务，提高社区、村镇生活服务的便捷性和服务质量。引导商贸流通、电子商务、生活服务与现代农业、乡村旅游、加工制造等特色产业跨界融合，增强服务业推动生产、促进流通、扩大消费的功能。支持商贸企业向综合性服务转型投入的设施、设备等。</w:t>
      </w:r>
    </w:p>
    <w:p w14:paraId="09130D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重点支持事项。专项资金重点支持县域商业建设行动七个约束性指标项目建设，支持新建或升级改造乡镇商贸中心、连锁超市、农贸市场、集贸市场等短板项目；支持新建或升级改造县域物流配送中心、乡镇快递物流站点、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村物流共同配送的仓储及有关设施、设备等物流配送项目；支持大型流通企业建设县域前置仓、物流仓储及商贸流通企业多业态发展投入的设施、设备等项目。</w:t>
      </w:r>
    </w:p>
    <w:p w14:paraId="1CF35B5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不支持县级商贸服务中心、村级便利店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补助资金不得用于征地拆迁、不得用于支付罚款、捐款、赞助、投资、偿还债务以及财政补助单位人员经费和工作经费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（具体支持内容详见附件《项目列支范围情况表》）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598079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专项资金支持方式及规则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项目经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专家评审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予以确定，以奖代补方式予以支持，支持列入我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域商业建设行动的项目，原则上单个项目专项资金支持比例不超过有效投资额的30%。单个项目最高支持资金不超过500万元，单个企业累计支持资金额度不超过500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77582BC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 w:firstLine="628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</w:rPr>
        <w:t xml:space="preserve"> 支持项目实施期限。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  <w:lang w:val="en-US" w:eastAsia="zh-CN"/>
        </w:rPr>
        <w:t>原则上支持周期延续为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  <w:lang w:val="en-US" w:eastAsia="zh-CN"/>
        </w:rPr>
        <w:t>5年1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-202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11"/>
          <w:sz w:val="32"/>
          <w:szCs w:val="32"/>
          <w:shd w:val="clear" w:color="auto" w:fill="FFFFFF"/>
          <w:lang w:val="en-US" w:eastAsia="zh-CN"/>
        </w:rPr>
        <w:t>6年3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psCustomData:val="-6" w:val="-6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167CDF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第三章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职责与分工</w:t>
      </w:r>
    </w:p>
    <w:p w14:paraId="78A50E5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0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专项资金由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宝鸡市金台区商务局、宝鸡市金台区财政局、宝鸡市金台区农业农村局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共同监督管理。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宝鸡市金台区商务局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为项目主管部门，负责项目的业务指导、日常监管、资金拨付和验收。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财政局负责专项资金的下达，协助项目的监督检查和验收。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负责将县域商业建设行动纳入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巩固拓展脱贫攻坚成果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同乡村振兴有效衔接考核体系，并参加项目验收。</w:t>
      </w:r>
    </w:p>
    <w:p w14:paraId="335CF0E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第四章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项目申报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、审批和资金拨付</w:t>
      </w:r>
    </w:p>
    <w:p w14:paraId="345E88D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申请专项资金的承办企业应符合以下条件：</w:t>
      </w:r>
    </w:p>
    <w:p w14:paraId="3BAC5A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具有独立法人资格，人才资金业务水平等具备承办项目的能力；</w:t>
      </w:r>
    </w:p>
    <w:p w14:paraId="3B1E430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（二）产权明晰，管理规范，具有健全的内部财务管理制度，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遵章守法，信用记录良好，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项目形成的资金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年内不得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z w:val="32"/>
          <w:szCs w:val="32"/>
          <w:shd w:val="clear" w:color="auto" w:fill="FFFFFF"/>
        </w:rPr>
        <w:t>变卖和转移，申报企业一年内无违法或受到行政处罚的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记录；</w:t>
      </w:r>
    </w:p>
    <w:p w14:paraId="186A506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对于已获得其他中央和省级财政资金支持的项目，不得重复申报，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符合专项资金申报条件的其他要求。</w:t>
      </w:r>
    </w:p>
    <w:p w14:paraId="470C951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项目入选流程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11A06C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（一）政策培训与申报。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区商务局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召开政策培训和项目申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z w:val="32"/>
          <w:szCs w:val="32"/>
          <w:shd w:val="clear" w:color="auto" w:fill="FFFFFF"/>
          <w:lang w:val="en-US" w:eastAsia="zh-CN"/>
        </w:rPr>
        <w:t>报动员会议，号召相关企业积极申报，初步筛选出入围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名单。</w:t>
      </w:r>
    </w:p>
    <w:p w14:paraId="1E4A3B9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（二）入库项目评审。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区商务局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牵头组织区财政局、区农业农村局及引入第三方机构进行专题项目评审，确定入围项目并填报《商务部业务系统统一平台》。</w:t>
      </w:r>
    </w:p>
    <w:p w14:paraId="28C5681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专项资金的审批和拨付。项目建设完成并通过区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商务局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、区财政局、区农业农村局联合第三方机构验收合格后，予以资金补贴。</w:t>
      </w:r>
    </w:p>
    <w:p w14:paraId="4641F78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资金回收。有下列情形之一的，一律予以回收资金：</w:t>
      </w:r>
    </w:p>
    <w:p w14:paraId="2CD79A0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1.无法按要求竣工的；</w:t>
      </w:r>
    </w:p>
    <w:p w14:paraId="0410A0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2.存在违法、重大欺骗、重大事实隐瞒等行为的；</w:t>
      </w:r>
    </w:p>
    <w:p w14:paraId="7A058B2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3.超出整改期限或未达到整改要求的；</w:t>
      </w:r>
    </w:p>
    <w:p w14:paraId="2E9333D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4.项目承担主体主动申请退出的；</w:t>
      </w:r>
    </w:p>
    <w:p w14:paraId="2BE9745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5.存在其他违规违法行为情节严重的。</w:t>
      </w:r>
    </w:p>
    <w:p w14:paraId="2AE92C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autoSpaceDE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章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附则</w:t>
      </w:r>
    </w:p>
    <w:p w14:paraId="0A7727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对任何单位和个人滞留截留、挤占挪用专项资金，以及其他违反本办法规定的行为，按照《中华人民共和国预算法》《财政违法行为处罚处分条例》等有关规定追究法律责任，构成犯罪的，依法移送司法机关处理。</w:t>
      </w:r>
    </w:p>
    <w:p w14:paraId="3FCE79A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专项资金必须专款专用。对骗取、套取专项资金等违法行为的企业和个人，一经查实，将按规定追回已拨付的资金，并按《财政违法行为处罚处分条例》等有关规定进行严肃处理，构成犯罪的，依法移送司法机关处理。</w:t>
      </w:r>
    </w:p>
    <w:p w14:paraId="153A927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商务局、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财政局、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及其工作人员在专项资金审核、分配、审批工作中，如存在违反规定分配资金，以及滥用职权、玩忽职守、徇私舞弊等违法违纪行为的，按照《中华人民共和国预算法》《中华人民共和国公务员法》《中华人民共和国行政监察法》等有关规定追究相关责任，构成犯罪的，依法移送司法机关处理。</w:t>
      </w:r>
    </w:p>
    <w:p w14:paraId="307F574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加强县域商业建设工作宣传推广，及时总结建设经验和发展成效，充分利用各类媒体渠道，大力宣传推广县域商业建设的典型案例和成功经验，着力打造全国县域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商业“领跑县”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0149B19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第十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 本办法自发布之日起实施，至该项目实施完毕后止。由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商务局、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财政局、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区农业农村局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负责解释，如遇有关政策调整将作相应变更。</w:t>
      </w:r>
    </w:p>
    <w:p w14:paraId="18B2306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0"/>
          <w:sz w:val="44"/>
          <w:szCs w:val="44"/>
          <w:lang w:val="en-US" w:eastAsia="zh-CN"/>
        </w:rPr>
      </w:pPr>
    </w:p>
    <w:p w14:paraId="59BDBEF5">
      <w:pPr>
        <w:bidi w:val="0"/>
        <w:rPr>
          <w:rFonts w:hint="eastAsia"/>
          <w:color w:val="auto"/>
          <w:lang w:val="en-US" w:eastAsia="zh-CN"/>
        </w:rPr>
      </w:pPr>
      <w:bookmarkStart w:id="0" w:name="_Toc13583"/>
    </w:p>
    <w:p w14:paraId="4BC9A4C7">
      <w:pPr>
        <w:bidi w:val="0"/>
        <w:rPr>
          <w:rFonts w:hint="eastAsia"/>
          <w:color w:val="auto"/>
          <w:lang w:val="en-US" w:eastAsia="zh-CN"/>
        </w:rPr>
      </w:pPr>
    </w:p>
    <w:p w14:paraId="6DB1B1AC">
      <w:pPr>
        <w:bidi w:val="0"/>
        <w:rPr>
          <w:rFonts w:hint="eastAsia"/>
          <w:color w:val="auto"/>
          <w:lang w:val="en-US" w:eastAsia="zh-CN"/>
        </w:rPr>
      </w:pPr>
    </w:p>
    <w:p w14:paraId="659CE558">
      <w:pPr>
        <w:bidi w:val="0"/>
        <w:rPr>
          <w:rFonts w:hint="eastAsia"/>
          <w:color w:val="auto"/>
          <w:lang w:val="en-US" w:eastAsia="zh-CN"/>
        </w:rPr>
      </w:pPr>
    </w:p>
    <w:p w14:paraId="0C95BDE8">
      <w:pPr>
        <w:bidi w:val="0"/>
        <w:rPr>
          <w:rFonts w:hint="eastAsia"/>
          <w:color w:val="auto"/>
          <w:lang w:val="en-US" w:eastAsia="zh-CN"/>
        </w:rPr>
      </w:pPr>
    </w:p>
    <w:p w14:paraId="312A6C90">
      <w:pPr>
        <w:bidi w:val="0"/>
        <w:rPr>
          <w:rFonts w:hint="eastAsia"/>
          <w:color w:val="auto"/>
          <w:lang w:val="en-US" w:eastAsia="zh-CN"/>
        </w:rPr>
      </w:pPr>
    </w:p>
    <w:p w14:paraId="0A600060">
      <w:pPr>
        <w:bidi w:val="0"/>
        <w:rPr>
          <w:rFonts w:hint="eastAsia"/>
          <w:color w:val="auto"/>
          <w:lang w:val="en-US" w:eastAsia="zh-CN"/>
        </w:rPr>
      </w:pPr>
    </w:p>
    <w:p w14:paraId="383F2E41">
      <w:pPr>
        <w:bidi w:val="0"/>
        <w:rPr>
          <w:rFonts w:hint="eastAsia"/>
          <w:color w:val="auto"/>
          <w:lang w:val="en-US" w:eastAsia="zh-CN"/>
        </w:rPr>
      </w:pPr>
    </w:p>
    <w:p w14:paraId="18FA176F">
      <w:pPr>
        <w:bidi w:val="0"/>
        <w:rPr>
          <w:rFonts w:hint="eastAsia"/>
          <w:color w:val="auto"/>
          <w:lang w:val="en-US" w:eastAsia="zh-CN"/>
        </w:rPr>
      </w:pPr>
    </w:p>
    <w:p w14:paraId="07FAC5A8">
      <w:pPr>
        <w:bidi w:val="0"/>
        <w:rPr>
          <w:rFonts w:hint="eastAsia"/>
          <w:color w:val="auto"/>
          <w:lang w:val="en-US" w:eastAsia="zh-CN"/>
        </w:rPr>
      </w:pPr>
    </w:p>
    <w:p w14:paraId="31B5D113">
      <w:pPr>
        <w:bidi w:val="0"/>
        <w:rPr>
          <w:rFonts w:hint="eastAsia"/>
          <w:color w:val="auto"/>
          <w:lang w:val="en-US" w:eastAsia="zh-CN"/>
        </w:rPr>
      </w:pPr>
    </w:p>
    <w:p w14:paraId="75CBD733">
      <w:pPr>
        <w:bidi w:val="0"/>
        <w:rPr>
          <w:rFonts w:hint="eastAsia"/>
          <w:color w:val="auto"/>
          <w:lang w:val="en-US" w:eastAsia="zh-CN"/>
        </w:rPr>
      </w:pPr>
    </w:p>
    <w:p w14:paraId="4FF657C7">
      <w:pPr>
        <w:bidi w:val="0"/>
        <w:rPr>
          <w:rFonts w:hint="eastAsia"/>
          <w:color w:val="auto"/>
          <w:lang w:val="en-US" w:eastAsia="zh-CN"/>
        </w:rPr>
      </w:pPr>
    </w:p>
    <w:p w14:paraId="51EBFFCE">
      <w:pPr>
        <w:bidi w:val="0"/>
        <w:rPr>
          <w:rFonts w:hint="eastAsia"/>
          <w:color w:val="auto"/>
          <w:lang w:val="en-US" w:eastAsia="zh-CN"/>
        </w:rPr>
      </w:pPr>
    </w:p>
    <w:p w14:paraId="7FC67A55">
      <w:pPr>
        <w:bidi w:val="0"/>
        <w:rPr>
          <w:rFonts w:hint="eastAsia"/>
          <w:color w:val="auto"/>
          <w:lang w:val="en-US" w:eastAsia="zh-CN"/>
        </w:rPr>
      </w:pPr>
    </w:p>
    <w:p w14:paraId="4B23974A">
      <w:pPr>
        <w:bidi w:val="0"/>
        <w:rPr>
          <w:rFonts w:hint="eastAsia"/>
          <w:color w:val="auto"/>
          <w:lang w:val="en-US" w:eastAsia="zh-CN"/>
        </w:rPr>
      </w:pPr>
    </w:p>
    <w:p w14:paraId="684D7A5F">
      <w:pPr>
        <w:bidi w:val="0"/>
        <w:rPr>
          <w:rFonts w:hint="eastAsia"/>
          <w:color w:val="auto"/>
          <w:lang w:val="en-US" w:eastAsia="zh-CN"/>
        </w:rPr>
      </w:pPr>
    </w:p>
    <w:p w14:paraId="39A46833">
      <w:pPr>
        <w:bidi w:val="0"/>
        <w:rPr>
          <w:rFonts w:hint="eastAsia"/>
          <w:color w:val="auto"/>
          <w:lang w:val="en-US" w:eastAsia="zh-CN"/>
        </w:rPr>
      </w:pPr>
    </w:p>
    <w:p w14:paraId="602A7BF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：</w:t>
      </w:r>
      <w:bookmarkEnd w:id="0"/>
      <w:bookmarkStart w:id="1" w:name="_Toc20105"/>
    </w:p>
    <w:p w14:paraId="70A1957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626AA9C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列支范围情况表</w:t>
      </w:r>
      <w:bookmarkEnd w:id="1"/>
    </w:p>
    <w:p w14:paraId="068B2282">
      <w:pPr>
        <w:pStyle w:val="4"/>
        <w:spacing w:line="500" w:lineRule="exact"/>
        <w:ind w:left="0" w:leftChars="0" w:firstLine="0" w:firstLineChars="0"/>
        <w:rPr>
          <w:rFonts w:hint="eastAsia"/>
          <w:color w:val="auto"/>
        </w:rPr>
      </w:pPr>
    </w:p>
    <w:tbl>
      <w:tblPr>
        <w:tblStyle w:val="9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86"/>
        <w:gridCol w:w="4035"/>
        <w:gridCol w:w="2325"/>
        <w:gridCol w:w="981"/>
      </w:tblGrid>
      <w:tr w14:paraId="3105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118" w:type="dxa"/>
            <w:noWrap w:val="0"/>
            <w:vAlign w:val="center"/>
          </w:tcPr>
          <w:p w14:paraId="0AD8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政策方向</w:t>
            </w:r>
          </w:p>
        </w:tc>
        <w:tc>
          <w:tcPr>
            <w:tcW w:w="1286" w:type="dxa"/>
            <w:noWrap w:val="0"/>
            <w:vAlign w:val="center"/>
          </w:tcPr>
          <w:p w14:paraId="67538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建设方向</w:t>
            </w:r>
          </w:p>
        </w:tc>
        <w:tc>
          <w:tcPr>
            <w:tcW w:w="4035" w:type="dxa"/>
            <w:noWrap w:val="0"/>
            <w:vAlign w:val="center"/>
          </w:tcPr>
          <w:p w14:paraId="16ACE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允许列支范围</w:t>
            </w:r>
          </w:p>
        </w:tc>
        <w:tc>
          <w:tcPr>
            <w:tcW w:w="2325" w:type="dxa"/>
            <w:noWrap w:val="0"/>
            <w:vAlign w:val="center"/>
          </w:tcPr>
          <w:p w14:paraId="0418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不包括列支范围</w:t>
            </w:r>
          </w:p>
        </w:tc>
        <w:tc>
          <w:tcPr>
            <w:tcW w:w="981" w:type="dxa"/>
            <w:noWrap w:val="0"/>
            <w:vAlign w:val="center"/>
          </w:tcPr>
          <w:p w14:paraId="3BF2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1E64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4D158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补齐县域商业基础设施短板</w:t>
            </w:r>
          </w:p>
        </w:tc>
        <w:tc>
          <w:tcPr>
            <w:tcW w:w="1286" w:type="dxa"/>
            <w:noWrap w:val="0"/>
            <w:vAlign w:val="center"/>
          </w:tcPr>
          <w:p w14:paraId="4C0E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新建或升级改造乡镇商贸中心、连锁超市</w:t>
            </w:r>
          </w:p>
        </w:tc>
        <w:tc>
          <w:tcPr>
            <w:tcW w:w="4035" w:type="dxa"/>
            <w:noWrap w:val="0"/>
            <w:vAlign w:val="center"/>
          </w:tcPr>
          <w:p w14:paraId="63CC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乡镇商贸中心、大中型超市等改造升级：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1.设施建设与装修改造、强弱电、货架、收银、空调等投入；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2.配备与娱乐、休闲、临时停车位等相适应的设施设备；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3.配备冷藏、陈列、打包、结算、食品加工设施、线上线下购物相关设备。</w:t>
            </w:r>
          </w:p>
        </w:tc>
        <w:tc>
          <w:tcPr>
            <w:tcW w:w="2325" w:type="dxa"/>
            <w:vMerge w:val="restart"/>
            <w:noWrap w:val="0"/>
            <w:vAlign w:val="center"/>
          </w:tcPr>
          <w:p w14:paraId="7DAF5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1.县城综合商贸服务中心建设改造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2.村级便民店建设改造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3.征地拆迁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4.办公设施（办公楼）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5.员工宿舍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6.办公设备、电脑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7.人员工资、人工费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8.招待费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9.未来一两年的流动资金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10.租赁费用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11.技术服务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12.流量费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13.广告费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14.燃料费用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15.知识产权费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16.宣传费用（出版物）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17.项目管理费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18.利息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19.勘察设计费用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20.土地购买费用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21.罚款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22.捐款、赞助费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23.投资费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24.偿还债务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5897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已获中央资金支持的项目不得重复支持。</w:t>
            </w:r>
          </w:p>
        </w:tc>
      </w:tr>
      <w:tr w14:paraId="17B6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0FE3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FB3E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新建或升级改造乡镇农贸市场、集贸市场</w:t>
            </w:r>
          </w:p>
        </w:tc>
        <w:tc>
          <w:tcPr>
            <w:tcW w:w="4035" w:type="dxa"/>
            <w:noWrap w:val="0"/>
            <w:vAlign w:val="center"/>
          </w:tcPr>
          <w:p w14:paraId="539E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1.水、电、暖、通讯、仓储、停车场、交易区、排水设施、内部道路、钢架大棚、场地硬化等建设改造；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2.配备交易设施、冷藏冷冻、加工配送、电子结算、检验检测、安全监控、消防设施等设施设备。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575E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FA3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144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4BEB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完善县乡村三级物流配送体系</w:t>
            </w:r>
          </w:p>
        </w:tc>
        <w:tc>
          <w:tcPr>
            <w:tcW w:w="1286" w:type="dxa"/>
            <w:noWrap w:val="0"/>
            <w:vAlign w:val="center"/>
          </w:tcPr>
          <w:p w14:paraId="10ED1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新建或升级改造县级物流配送中心</w:t>
            </w:r>
          </w:p>
        </w:tc>
        <w:tc>
          <w:tcPr>
            <w:tcW w:w="4035" w:type="dxa"/>
            <w:noWrap w:val="0"/>
            <w:vAlign w:val="center"/>
          </w:tcPr>
          <w:p w14:paraId="57290D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设施建设与装修改造、强弱电、货架、仓库等投入；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2.配备冷藏冷冻设施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及冷链车辆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3.建设自动化包装、分拣、装卸设备，加强条形码、射频识别技术、车载定位装置等终端信息化建设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eastAsia="zh-CN"/>
              </w:rPr>
              <w:t>；</w:t>
            </w:r>
          </w:p>
          <w:p w14:paraId="06A843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4.物流快递配送车辆。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7CCE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7E6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550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5183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D514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新建或升级改造乡镇快递物流站点</w:t>
            </w:r>
          </w:p>
        </w:tc>
        <w:tc>
          <w:tcPr>
            <w:tcW w:w="4035" w:type="dxa"/>
            <w:noWrap w:val="0"/>
            <w:vAlign w:val="center"/>
          </w:tcPr>
          <w:p w14:paraId="18AF7E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设施建设与装修改造、强弱电改造、货架等投入；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2.建设自动化包装、分拣、装卸设备，加强条形码、射频识别技术、车载定位装置等终端信息化建设。</w:t>
            </w:r>
          </w:p>
          <w:p w14:paraId="02E301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3.物流快递配送车辆。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464D8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DA4D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4D0A8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26D4A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6EA90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县乡村物流共同配送设施、设备投入</w:t>
            </w:r>
          </w:p>
        </w:tc>
        <w:tc>
          <w:tcPr>
            <w:tcW w:w="4035" w:type="dxa"/>
            <w:noWrap w:val="0"/>
            <w:vAlign w:val="center"/>
          </w:tcPr>
          <w:p w14:paraId="54E0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建设共同配送相关仓库、货架、分拣、装卸等投入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以及物流快递配送车辆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0DE5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FF1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6F51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3EDC8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bookmarkStart w:id="2" w:name="_GoBack"/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eastAsia="zh-CN"/>
              </w:rPr>
              <w:t>优化改善</w:t>
            </w:r>
            <w:bookmarkEnd w:id="2"/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县域消费渠道</w:t>
            </w:r>
          </w:p>
        </w:tc>
        <w:tc>
          <w:tcPr>
            <w:tcW w:w="1286" w:type="dxa"/>
            <w:noWrap w:val="0"/>
            <w:vAlign w:val="center"/>
          </w:tcPr>
          <w:p w14:paraId="5FE6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新建或升级改造大型流通企业布局县域前置仓、物流仓储等设施</w:t>
            </w:r>
          </w:p>
        </w:tc>
        <w:tc>
          <w:tcPr>
            <w:tcW w:w="4035" w:type="dxa"/>
            <w:noWrap w:val="0"/>
            <w:vAlign w:val="center"/>
          </w:tcPr>
          <w:p w14:paraId="4914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1.设施建设与装修改造、强弱电、货架、仓库、分拣、包装、装卸设备等投入；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2.配备冷藏冷冻设施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及冷链车辆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5832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B249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7347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33DD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E86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传统商贸企业多业态发展投入</w:t>
            </w:r>
          </w:p>
        </w:tc>
        <w:tc>
          <w:tcPr>
            <w:tcW w:w="4035" w:type="dxa"/>
            <w:noWrap w:val="0"/>
            <w:vAlign w:val="center"/>
          </w:tcPr>
          <w:p w14:paraId="7621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支持多业态发展相关投入，包括装修、强弱电、货架、仓储等投入。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3899D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DA3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3C3E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 w14:paraId="62DF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增强农村产品上行动能</w:t>
            </w:r>
          </w:p>
        </w:tc>
        <w:tc>
          <w:tcPr>
            <w:tcW w:w="1286" w:type="dxa"/>
            <w:noWrap w:val="0"/>
            <w:vAlign w:val="center"/>
          </w:tcPr>
          <w:p w14:paraId="3CCF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新建或升级改造公益性农产品批发市场</w:t>
            </w:r>
          </w:p>
        </w:tc>
        <w:tc>
          <w:tcPr>
            <w:tcW w:w="4035" w:type="dxa"/>
            <w:noWrap w:val="0"/>
            <w:vAlign w:val="center"/>
          </w:tcPr>
          <w:p w14:paraId="530B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1.水、电、暖、通讯、仓储、停车场、交易区、内部道路、污水处理等建设改造；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2.配备交易设施、冷藏冷冻、加工配送、电子结算、检验检测、安全监控、消防设施等设施设备。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32AE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23F3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112CF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663FB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2E61B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新建或升级改造农产品集配中心、产地交易市场</w:t>
            </w:r>
          </w:p>
        </w:tc>
        <w:tc>
          <w:tcPr>
            <w:tcW w:w="4035" w:type="dxa"/>
            <w:noWrap w:val="0"/>
            <w:vAlign w:val="center"/>
          </w:tcPr>
          <w:p w14:paraId="3B9B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1.设施建设与装修改造、强弱电、货架等投入；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2.配备预冷库和清洗、分级、包装、烘干等商品化处理设施设备。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2101F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FD7B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24B6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118" w:type="dxa"/>
            <w:vMerge w:val="continue"/>
            <w:noWrap w:val="0"/>
            <w:vAlign w:val="center"/>
          </w:tcPr>
          <w:p w14:paraId="2016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51DB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新建或升级改造冷链物流设施</w:t>
            </w:r>
          </w:p>
        </w:tc>
        <w:tc>
          <w:tcPr>
            <w:tcW w:w="4035" w:type="dxa"/>
            <w:noWrap w:val="0"/>
            <w:vAlign w:val="center"/>
          </w:tcPr>
          <w:p w14:paraId="5B96E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1.建设改造预冷、贮藏保鲜等设施、设备；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2.建设改造冷链加工配送中心</w:t>
            </w: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  <w:lang w:val="en-US" w:eastAsia="zh-CN"/>
              </w:rPr>
              <w:t>及冷链车辆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；</w:t>
            </w:r>
          </w:p>
          <w:p w14:paraId="6B56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3.冷链标准化设施、设备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2"/>
                <w:szCs w:val="22"/>
              </w:rPr>
              <w:t>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70870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10D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  <w:tr w14:paraId="16321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8" w:type="dxa"/>
            <w:noWrap w:val="0"/>
            <w:vAlign w:val="center"/>
          </w:tcPr>
          <w:p w14:paraId="3DBF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提高生活服务供给质量</w:t>
            </w:r>
          </w:p>
        </w:tc>
        <w:tc>
          <w:tcPr>
            <w:tcW w:w="1286" w:type="dxa"/>
            <w:noWrap w:val="0"/>
            <w:vAlign w:val="center"/>
          </w:tcPr>
          <w:p w14:paraId="2FE2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商贸企业综合性服务转型投入</w:t>
            </w:r>
          </w:p>
        </w:tc>
        <w:tc>
          <w:tcPr>
            <w:tcW w:w="4035" w:type="dxa"/>
            <w:noWrap w:val="0"/>
            <w:vAlign w:val="center"/>
          </w:tcPr>
          <w:p w14:paraId="70548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整合购物、订餐、家政、职介、租赁、同城配送等服务增加的设备设施等。</w:t>
            </w:r>
          </w:p>
        </w:tc>
        <w:tc>
          <w:tcPr>
            <w:tcW w:w="2325" w:type="dxa"/>
            <w:vMerge w:val="continue"/>
            <w:noWrap w:val="0"/>
            <w:vAlign w:val="center"/>
          </w:tcPr>
          <w:p w14:paraId="27280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6D6E7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</w:p>
        </w:tc>
      </w:tr>
    </w:tbl>
    <w:p w14:paraId="69D0A28F">
      <w:pPr>
        <w:rPr>
          <w:rFonts w:hint="eastAsia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82E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261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261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3E017"/>
    <w:multiLevelType w:val="singleLevel"/>
    <w:tmpl w:val="B013E0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CE981"/>
    <w:multiLevelType w:val="singleLevel"/>
    <w:tmpl w:val="B1ACE9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26479"/>
    <w:rsid w:val="0AB31CAF"/>
    <w:rsid w:val="0B9C3684"/>
    <w:rsid w:val="13720995"/>
    <w:rsid w:val="14726479"/>
    <w:rsid w:val="15064810"/>
    <w:rsid w:val="185032BC"/>
    <w:rsid w:val="208F6E7F"/>
    <w:rsid w:val="25F239C2"/>
    <w:rsid w:val="2F046214"/>
    <w:rsid w:val="30D54B12"/>
    <w:rsid w:val="3B9E7574"/>
    <w:rsid w:val="4385295E"/>
    <w:rsid w:val="43A34715"/>
    <w:rsid w:val="4DC6473A"/>
    <w:rsid w:val="692505BE"/>
    <w:rsid w:val="7C8A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/>
      <w:kern w:val="2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1"/>
      <w:szCs w:val="24"/>
    </w:rPr>
  </w:style>
  <w:style w:type="paragraph" w:styleId="4">
    <w:name w:val="Plain Text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宋体" w:hAnsi="Courier New" w:eastAsia="仿宋" w:cs="等线"/>
      <w:kern w:val="2"/>
      <w:sz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line="560" w:lineRule="exact"/>
      <w:jc w:val="center"/>
      <w:outlineLvl w:val="0"/>
    </w:pPr>
    <w:rPr>
      <w:rFonts w:ascii="Times New Roman" w:eastAsia="方正小标宋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3774</Words>
  <Characters>3853</Characters>
  <Lines>0</Lines>
  <Paragraphs>0</Paragraphs>
  <TotalTime>134</TotalTime>
  <ScaleCrop>false</ScaleCrop>
  <LinksUpToDate>false</LinksUpToDate>
  <CharactersWithSpaces>3888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2025-03-19T01:09:00Z</dcterms:created>
  <dc:creator>大海</dc:creator>
  <cp:lastModifiedBy>小幸福！</cp:lastModifiedBy>
  <cp:lastPrinted>2026-02-11T01:09:00Z</cp:lastPrinted>
  <dcterms:modified xsi:type="dcterms:W3CDTF">2026-04-09T02:34:59Z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E69930DAA41A48BB836B02B1ED56BC1A_13</vt:lpwstr>
  </property>
  <property fmtid="{D5CDD505-2E9C-101B-9397-08002B2CF9AE}" pid="4" name="KSOTemplateDocerSaveRecord">
    <vt:lpwstr>eyJoZGlkIjoiM2M4MTVkYzc2NWUyZmFiZDM5ZTAyZDQ0OWZiYmFkNTciLCJ1c2VySWQiOiI5NDEyNDU2MjkifQ==</vt:lpwstr>
  </property>
</Properties>
</file>